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0CB" w:rsidRDefault="00FB1A10" w:rsidP="00FB1A10">
      <w:pPr>
        <w:autoSpaceDE w:val="0"/>
        <w:autoSpaceDN w:val="0"/>
        <w:adjustRightInd w:val="0"/>
        <w:spacing w:after="0" w:line="240" w:lineRule="auto"/>
        <w:jc w:val="center"/>
        <w:rPr>
          <w:rFonts w:ascii="NimbusSanL" w:hAnsi="NimbusSanL" w:cs="NimbusSanL"/>
          <w:color w:val="000000"/>
        </w:rPr>
      </w:pPr>
      <w:bookmarkStart w:id="0" w:name="_GoBack"/>
      <w:bookmarkEnd w:id="0"/>
      <w:r>
        <w:rPr>
          <w:rFonts w:ascii="NimbusSanL" w:hAnsi="NimbusSanL" w:cs="NimbusSanL"/>
          <w:color w:val="000000"/>
        </w:rPr>
        <w:t xml:space="preserve">PROGRAMA DE </w:t>
      </w:r>
      <w:r w:rsidR="000C0963">
        <w:rPr>
          <w:rFonts w:ascii="NimbusSanL" w:hAnsi="NimbusSanL" w:cs="NimbusSanL"/>
          <w:color w:val="000000"/>
        </w:rPr>
        <w:t xml:space="preserve">EVALULACION </w:t>
      </w:r>
      <w:r w:rsidR="00C44252">
        <w:rPr>
          <w:rFonts w:ascii="NimbusSanL" w:hAnsi="NimbusSanL" w:cs="NimbusSanL"/>
          <w:color w:val="000000"/>
        </w:rPr>
        <w:t xml:space="preserve">Y REVISION </w:t>
      </w:r>
      <w:r>
        <w:rPr>
          <w:rFonts w:ascii="NimbusSanL" w:hAnsi="NimbusSanL" w:cs="NimbusSanL"/>
          <w:color w:val="000000"/>
        </w:rPr>
        <w:t xml:space="preserve">DE LA </w:t>
      </w:r>
      <w:r w:rsidR="000C0963">
        <w:rPr>
          <w:rFonts w:ascii="NimbusSanL" w:hAnsi="NimbusSanL" w:cs="NimbusSanL"/>
          <w:color w:val="000000"/>
        </w:rPr>
        <w:t xml:space="preserve">INFORMACIÓN DE LA CUENTA ANUAL </w:t>
      </w:r>
      <w:r>
        <w:rPr>
          <w:rFonts w:ascii="NimbusSanL" w:hAnsi="NimbusSanL" w:cs="NimbusSanL"/>
          <w:color w:val="000000"/>
        </w:rPr>
        <w:t xml:space="preserve">RENDIDA POR </w:t>
      </w:r>
      <w:r w:rsidR="001B1E55">
        <w:rPr>
          <w:rFonts w:ascii="NimbusSanL" w:hAnsi="NimbusSanL" w:cs="NimbusSanL"/>
          <w:color w:val="000000"/>
        </w:rPr>
        <w:t>(Sujeto de Control)</w:t>
      </w:r>
      <w:r w:rsidR="000C0963">
        <w:rPr>
          <w:rFonts w:ascii="NimbusSanL" w:hAnsi="NimbusSanL" w:cs="NimbusSanL"/>
          <w:color w:val="000000"/>
        </w:rPr>
        <w:t xml:space="preserve"> </w:t>
      </w:r>
      <w:r>
        <w:rPr>
          <w:rFonts w:ascii="NimbusSanL" w:hAnsi="NimbusSanL" w:cs="NimbusSanL"/>
          <w:color w:val="000000"/>
        </w:rPr>
        <w:t>TOLIMA</w:t>
      </w:r>
      <w:r w:rsidR="001B1E55">
        <w:rPr>
          <w:rFonts w:ascii="NimbusSanL" w:hAnsi="NimbusSanL" w:cs="NimbusSanL"/>
          <w:color w:val="000000"/>
        </w:rPr>
        <w:t xml:space="preserve">                             </w:t>
      </w:r>
      <w:r>
        <w:rPr>
          <w:rFonts w:ascii="NimbusSanL" w:hAnsi="NimbusSanL" w:cs="NimbusSanL"/>
          <w:color w:val="000000"/>
        </w:rPr>
        <w:t xml:space="preserve">VIGENCIA </w:t>
      </w:r>
      <w:r w:rsidR="001B1E55">
        <w:rPr>
          <w:rFonts w:ascii="NimbusSanL" w:hAnsi="NimbusSanL" w:cs="NimbusSanL"/>
          <w:color w:val="000000"/>
        </w:rPr>
        <w:t>FISCAL (          )</w:t>
      </w:r>
    </w:p>
    <w:p w:rsidR="001B1E55" w:rsidRDefault="001B1E55" w:rsidP="00FB1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1A10" w:rsidRDefault="00FB1A10" w:rsidP="00FB1A10">
      <w:pPr>
        <w:autoSpaceDE w:val="0"/>
        <w:autoSpaceDN w:val="0"/>
        <w:adjustRightInd w:val="0"/>
        <w:spacing w:after="0" w:line="240" w:lineRule="auto"/>
        <w:jc w:val="both"/>
        <w:rPr>
          <w:rFonts w:ascii="NimbusSanL" w:hAnsi="NimbusSanL" w:cs="NimbusSanL"/>
          <w:color w:val="000000"/>
        </w:rPr>
      </w:pPr>
      <w:r>
        <w:rPr>
          <w:rFonts w:ascii="NimbusSanL" w:hAnsi="NimbusSanL" w:cs="NimbusSanL"/>
          <w:b/>
          <w:bCs/>
          <w:color w:val="000000"/>
        </w:rPr>
        <w:t>Objetivo General:</w:t>
      </w:r>
      <w:r>
        <w:rPr>
          <w:rFonts w:ascii="NimbusSanL" w:hAnsi="NimbusSanL" w:cs="NimbusSanL"/>
          <w:color w:val="000000"/>
        </w:rPr>
        <w:t xml:space="preserve"> Establecer si la información rendida por </w:t>
      </w:r>
      <w:r w:rsidR="001B1E55">
        <w:rPr>
          <w:rFonts w:ascii="NimbusSanL" w:hAnsi="NimbusSanL" w:cs="NimbusSanL"/>
          <w:color w:val="000000"/>
        </w:rPr>
        <w:t>(Su</w:t>
      </w:r>
      <w:r w:rsidR="00BF0733">
        <w:rPr>
          <w:rFonts w:ascii="NimbusSanL" w:hAnsi="NimbusSanL" w:cs="NimbusSanL"/>
          <w:color w:val="000000"/>
        </w:rPr>
        <w:t>je</w:t>
      </w:r>
      <w:r w:rsidR="001B1E55">
        <w:rPr>
          <w:rFonts w:ascii="NimbusSanL" w:hAnsi="NimbusSanL" w:cs="NimbusSanL"/>
          <w:color w:val="000000"/>
        </w:rPr>
        <w:t>to de Control)</w:t>
      </w:r>
      <w:r w:rsidR="00E51942">
        <w:rPr>
          <w:rFonts w:ascii="NimbusSanL" w:hAnsi="NimbusSanL" w:cs="NimbusSanL"/>
          <w:color w:val="000000"/>
        </w:rPr>
        <w:t xml:space="preserve"> a través del</w:t>
      </w:r>
      <w:r>
        <w:rPr>
          <w:rFonts w:ascii="NimbusSanL" w:hAnsi="NimbusSanL" w:cs="NimbusSanL"/>
          <w:color w:val="000000"/>
        </w:rPr>
        <w:t xml:space="preserve"> SIA (Informe final cuenta anual </w:t>
      </w:r>
      <w:proofErr w:type="spellStart"/>
      <w:r w:rsidR="001B1E55">
        <w:rPr>
          <w:rFonts w:ascii="NimbusSanL" w:hAnsi="NimbusSanL" w:cs="NimbusSanL"/>
          <w:color w:val="000000"/>
        </w:rPr>
        <w:t>xx</w:t>
      </w:r>
      <w:r w:rsidR="00B903A4">
        <w:rPr>
          <w:rFonts w:ascii="NimbusSanL" w:hAnsi="NimbusSanL" w:cs="NimbusSanL"/>
          <w:color w:val="000000"/>
        </w:rPr>
        <w:t>xx</w:t>
      </w:r>
      <w:proofErr w:type="spellEnd"/>
      <w:r>
        <w:rPr>
          <w:rFonts w:ascii="NimbusSanL" w:hAnsi="NimbusSanL" w:cs="NimbusSanL"/>
          <w:color w:val="000000"/>
        </w:rPr>
        <w:t>) es consistente y susceptible de verificación</w:t>
      </w:r>
      <w:r w:rsidR="000C0963">
        <w:rPr>
          <w:rFonts w:ascii="NimbusSanL" w:hAnsi="NimbusSanL" w:cs="NimbusSanL"/>
          <w:color w:val="000000"/>
        </w:rPr>
        <w:t>,</w:t>
      </w:r>
      <w:r>
        <w:rPr>
          <w:rFonts w:ascii="NimbusSanL" w:hAnsi="NimbusSanL" w:cs="NimbusSanL"/>
          <w:color w:val="000000"/>
        </w:rPr>
        <w:t xml:space="preserve"> si fue oportunamente reportada a la Contraloría Departamental del Tolima</w:t>
      </w:r>
      <w:r w:rsidR="00BF0733">
        <w:rPr>
          <w:rFonts w:ascii="NimbusSanL" w:hAnsi="NimbusSanL" w:cs="NimbusSanL"/>
          <w:color w:val="000000"/>
        </w:rPr>
        <w:t xml:space="preserve">, </w:t>
      </w:r>
      <w:r>
        <w:rPr>
          <w:rFonts w:ascii="NimbusSanL" w:hAnsi="NimbusSanL" w:cs="NimbusSanL"/>
          <w:color w:val="000000"/>
        </w:rPr>
        <w:t xml:space="preserve"> dentro de los plazos y en los formatos establecidos para </w:t>
      </w:r>
      <w:r w:rsidR="00BF0733">
        <w:rPr>
          <w:rFonts w:ascii="NimbusSanL" w:hAnsi="NimbusSanL" w:cs="NimbusSanL"/>
          <w:color w:val="000000"/>
        </w:rPr>
        <w:t>este fin</w:t>
      </w:r>
      <w:r>
        <w:rPr>
          <w:rFonts w:ascii="NimbusSanL" w:hAnsi="NimbusSanL" w:cs="NimbusSanL"/>
          <w:color w:val="000000"/>
        </w:rPr>
        <w:t xml:space="preserve"> (Resolución 254 de 2013).</w:t>
      </w:r>
    </w:p>
    <w:p w:rsidR="00FB1A10" w:rsidRDefault="00FB1A10" w:rsidP="00FB1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A10" w:rsidRDefault="00FB1A10" w:rsidP="00FB1A10">
      <w:pP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b/>
          <w:bCs/>
          <w:color w:val="000000"/>
        </w:rPr>
      </w:pPr>
      <w:r>
        <w:rPr>
          <w:rFonts w:ascii="NimbusSanL" w:hAnsi="NimbusSanL" w:cs="NimbusSanL"/>
          <w:b/>
          <w:bCs/>
          <w:color w:val="000000"/>
        </w:rPr>
        <w:t>Objetivos Específicos:</w:t>
      </w:r>
    </w:p>
    <w:p w:rsidR="00A570CB" w:rsidRDefault="00A570CB" w:rsidP="00FB1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A10" w:rsidRDefault="00FB1A10" w:rsidP="00FB1A10">
      <w:pPr>
        <w:autoSpaceDE w:val="0"/>
        <w:autoSpaceDN w:val="0"/>
        <w:adjustRightInd w:val="0"/>
        <w:spacing w:after="0" w:line="240" w:lineRule="auto"/>
        <w:jc w:val="both"/>
        <w:rPr>
          <w:rFonts w:ascii="NimbusSanL" w:hAnsi="NimbusSanL" w:cs="NimbusSanL"/>
          <w:color w:val="000000"/>
        </w:rPr>
      </w:pPr>
      <w:r>
        <w:rPr>
          <w:rFonts w:ascii="NimbusSanL" w:hAnsi="NimbusSanL" w:cs="NimbusSanL"/>
          <w:color w:val="000000"/>
        </w:rPr>
        <w:t xml:space="preserve">Constatar la veracidad de la información reportada por </w:t>
      </w:r>
      <w:r w:rsidR="00BF0733">
        <w:rPr>
          <w:rFonts w:ascii="NimbusSanL" w:hAnsi="NimbusSanL" w:cs="NimbusSanL"/>
          <w:color w:val="000000"/>
        </w:rPr>
        <w:t xml:space="preserve">el sujeto de control </w:t>
      </w:r>
      <w:r>
        <w:rPr>
          <w:rFonts w:ascii="NimbusSanL" w:hAnsi="NimbusSanL" w:cs="NimbusSanL"/>
          <w:color w:val="000000"/>
        </w:rPr>
        <w:t xml:space="preserve"> a la Contraloría Departamental del Tolima</w:t>
      </w:r>
      <w:r w:rsidR="00BF0733">
        <w:rPr>
          <w:rFonts w:ascii="NimbusSanL" w:hAnsi="NimbusSanL" w:cs="NimbusSanL"/>
          <w:color w:val="000000"/>
        </w:rPr>
        <w:t>,</w:t>
      </w:r>
      <w:r>
        <w:rPr>
          <w:rFonts w:ascii="NimbusSanL" w:hAnsi="NimbusSanL" w:cs="NimbusSanL"/>
          <w:color w:val="000000"/>
        </w:rPr>
        <w:t xml:space="preserve"> a través de la cuenta anual vigencia </w:t>
      </w:r>
      <w:proofErr w:type="spellStart"/>
      <w:r w:rsidR="00B903A4">
        <w:rPr>
          <w:rFonts w:ascii="NimbusSanL" w:hAnsi="NimbusSanL" w:cs="NimbusSanL"/>
          <w:color w:val="000000"/>
        </w:rPr>
        <w:t>xxxx</w:t>
      </w:r>
      <w:proofErr w:type="spellEnd"/>
      <w:r>
        <w:rPr>
          <w:rFonts w:ascii="NimbusSanL" w:hAnsi="NimbusSanL" w:cs="NimbusSanL"/>
          <w:color w:val="000000"/>
        </w:rPr>
        <w:t xml:space="preserve"> respecto de la que reposa en la institución.</w:t>
      </w:r>
    </w:p>
    <w:p w:rsidR="00FB1A10" w:rsidRDefault="00FB1A10" w:rsidP="00FB1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1A10" w:rsidRDefault="00FB1A10" w:rsidP="00FB1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NimbusSanL" w:hAnsi="NimbusSanL" w:cs="NimbusSanL"/>
          <w:b/>
          <w:bCs/>
          <w:color w:val="000000"/>
        </w:rPr>
        <w:t>Fuentes de Criterios:</w:t>
      </w:r>
    </w:p>
    <w:p w:rsidR="00A570CB" w:rsidRDefault="00A570CB" w:rsidP="00A570CB">
      <w:pPr>
        <w:autoSpaceDE w:val="0"/>
        <w:autoSpaceDN w:val="0"/>
        <w:adjustRightInd w:val="0"/>
        <w:spacing w:after="0" w:line="240" w:lineRule="auto"/>
        <w:jc w:val="both"/>
        <w:rPr>
          <w:rFonts w:ascii="NimbusSanL" w:hAnsi="NimbusSanL" w:cs="NimbusSanL"/>
          <w:color w:val="000000"/>
        </w:rPr>
      </w:pPr>
    </w:p>
    <w:p w:rsidR="00FB1A10" w:rsidRDefault="00FB1A10" w:rsidP="00A57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NimbusSanL" w:hAnsi="NimbusSanL" w:cs="NimbusSanL"/>
          <w:color w:val="000000"/>
        </w:rPr>
        <w:t>Ley 42 de 1993</w:t>
      </w:r>
    </w:p>
    <w:p w:rsidR="00BF0733" w:rsidRDefault="00FB1A10" w:rsidP="00A570CB">
      <w:pPr>
        <w:autoSpaceDE w:val="0"/>
        <w:autoSpaceDN w:val="0"/>
        <w:adjustRightInd w:val="0"/>
        <w:spacing w:after="0" w:line="240" w:lineRule="auto"/>
        <w:jc w:val="both"/>
        <w:rPr>
          <w:rFonts w:ascii="NimbusSanL" w:hAnsi="NimbusSanL" w:cs="NimbusSanL"/>
          <w:color w:val="000000"/>
        </w:rPr>
      </w:pPr>
      <w:r>
        <w:rPr>
          <w:rFonts w:ascii="NimbusSanL" w:hAnsi="NimbusSanL" w:cs="NimbusSanL"/>
          <w:color w:val="000000"/>
        </w:rPr>
        <w:t xml:space="preserve">Resolución 254 del 9 de </w:t>
      </w:r>
      <w:r w:rsidR="005E4CEF">
        <w:rPr>
          <w:rFonts w:ascii="NimbusSanL" w:hAnsi="NimbusSanL" w:cs="NimbusSanL"/>
          <w:color w:val="000000"/>
        </w:rPr>
        <w:t>julio</w:t>
      </w:r>
      <w:r>
        <w:rPr>
          <w:rFonts w:ascii="NimbusSanL" w:hAnsi="NimbusSanL" w:cs="NimbusSanL"/>
          <w:color w:val="000000"/>
        </w:rPr>
        <w:t xml:space="preserve"> d</w:t>
      </w:r>
      <w:r w:rsidR="00A570CB">
        <w:rPr>
          <w:rFonts w:ascii="NimbusSanL" w:hAnsi="NimbusSanL" w:cs="NimbusSanL"/>
          <w:color w:val="000000"/>
        </w:rPr>
        <w:t>e 2013 emitida por la Contraloría</w:t>
      </w:r>
      <w:r>
        <w:rPr>
          <w:rFonts w:ascii="NimbusSanL" w:hAnsi="NimbusSanL" w:cs="NimbusSanL"/>
          <w:color w:val="000000"/>
        </w:rPr>
        <w:t xml:space="preserve"> D</w:t>
      </w:r>
      <w:r w:rsidR="00B903A4">
        <w:rPr>
          <w:rFonts w:ascii="NimbusSanL" w:hAnsi="NimbusSanL" w:cs="NimbusSanL"/>
          <w:color w:val="000000"/>
        </w:rPr>
        <w:t>epartamen</w:t>
      </w:r>
      <w:r w:rsidR="00BF0733">
        <w:rPr>
          <w:rFonts w:ascii="NimbusSanL" w:hAnsi="NimbusSanL" w:cs="NimbusSanL"/>
          <w:color w:val="000000"/>
        </w:rPr>
        <w:t>tal</w:t>
      </w:r>
      <w:r>
        <w:rPr>
          <w:rFonts w:ascii="NimbusSanL" w:hAnsi="NimbusSanL" w:cs="NimbusSanL"/>
          <w:color w:val="000000"/>
        </w:rPr>
        <w:t xml:space="preserve"> </w:t>
      </w:r>
      <w:r w:rsidR="00BF0733">
        <w:rPr>
          <w:rFonts w:ascii="NimbusSanL" w:hAnsi="NimbusSanL" w:cs="NimbusSanL"/>
          <w:color w:val="000000"/>
        </w:rPr>
        <w:t>d</w:t>
      </w:r>
      <w:r>
        <w:rPr>
          <w:rFonts w:ascii="NimbusSanL" w:hAnsi="NimbusSanL" w:cs="NimbusSanL"/>
          <w:color w:val="000000"/>
        </w:rPr>
        <w:t>el Tolima</w:t>
      </w:r>
      <w:r w:rsidR="005E4CEF">
        <w:rPr>
          <w:rFonts w:ascii="NimbusSanL" w:hAnsi="NimbusSanL" w:cs="NimbusSanL"/>
          <w:color w:val="000000"/>
        </w:rPr>
        <w:t>.</w:t>
      </w:r>
      <w:r>
        <w:rPr>
          <w:rFonts w:ascii="NimbusSanL" w:hAnsi="NimbusSanL" w:cs="NimbusSanL"/>
          <w:color w:val="000000"/>
        </w:rPr>
        <w:t xml:space="preserve">  </w:t>
      </w:r>
    </w:p>
    <w:p w:rsidR="00FB1A10" w:rsidRDefault="00FB1A10" w:rsidP="00A570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NimbusSanL" w:hAnsi="NimbusSanL" w:cs="NimbusSanL"/>
          <w:color w:val="000000"/>
        </w:rPr>
        <w:t>Ley 1474 de 2011</w:t>
      </w:r>
    </w:p>
    <w:p w:rsidR="00FB1A10" w:rsidRDefault="00FB1A10" w:rsidP="00FB1A10">
      <w:pPr>
        <w:autoSpaceDE w:val="0"/>
        <w:autoSpaceDN w:val="0"/>
        <w:adjustRightInd w:val="0"/>
        <w:spacing w:after="0" w:line="240" w:lineRule="auto"/>
        <w:rPr>
          <w:rFonts w:ascii="NimbusSanL" w:hAnsi="NimbusSanL" w:cs="NimbusSanL"/>
          <w:b/>
          <w:bCs/>
          <w:color w:val="000000"/>
        </w:rPr>
      </w:pPr>
    </w:p>
    <w:p w:rsidR="00FB1A10" w:rsidRDefault="00FB1A10" w:rsidP="00FB1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NimbusSanL" w:hAnsi="NimbusSanL" w:cs="NimbusSanL"/>
          <w:b/>
          <w:bCs/>
          <w:color w:val="000000"/>
        </w:rPr>
        <w:t>Criterios:</w:t>
      </w:r>
    </w:p>
    <w:p w:rsidR="00FB1A10" w:rsidRDefault="00FB1A10" w:rsidP="00FB1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1A10" w:rsidRDefault="00FB1A10" w:rsidP="005E4C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7F4">
        <w:rPr>
          <w:rFonts w:ascii="NimbusSanL" w:hAnsi="NimbusSanL" w:cs="NimbusSanL"/>
          <w:color w:val="000000"/>
        </w:rPr>
        <w:t>Todo funcionarlo o persona que administre recursos del Estado tiene el deber</w:t>
      </w:r>
      <w:r>
        <w:rPr>
          <w:rFonts w:ascii="NimbusSanL" w:hAnsi="NimbusSanL" w:cs="NimbusSanL"/>
          <w:color w:val="000000"/>
        </w:rPr>
        <w:t xml:space="preserve"> legal y ético de informar y responder por </w:t>
      </w:r>
      <w:r w:rsidR="0013490D">
        <w:rPr>
          <w:rFonts w:ascii="NimbusSanL" w:hAnsi="NimbusSanL" w:cs="NimbusSanL"/>
          <w:color w:val="000000"/>
        </w:rPr>
        <w:t xml:space="preserve">la  administración, manejo, </w:t>
      </w:r>
      <w:r>
        <w:rPr>
          <w:rFonts w:ascii="NimbusSanL" w:hAnsi="NimbusSanL" w:cs="NimbusSanL"/>
          <w:color w:val="000000"/>
        </w:rPr>
        <w:t xml:space="preserve"> rendición de los fondos, bienes o recursos públicos bajo su responsabilidad</w:t>
      </w:r>
      <w:r w:rsidR="0013490D">
        <w:rPr>
          <w:rFonts w:ascii="NimbusSanL" w:hAnsi="NimbusSanL" w:cs="NimbusSanL"/>
          <w:color w:val="000000"/>
        </w:rPr>
        <w:t xml:space="preserve">, </w:t>
      </w:r>
      <w:r>
        <w:rPr>
          <w:rFonts w:ascii="NimbusSanL" w:hAnsi="NimbusSanL" w:cs="NimbusSanL"/>
          <w:color w:val="000000"/>
        </w:rPr>
        <w:t xml:space="preserve"> así como de </w:t>
      </w:r>
      <w:r w:rsidR="005E4CEF">
        <w:rPr>
          <w:rFonts w:ascii="NimbusSanL" w:hAnsi="NimbusSanL" w:cs="NimbusSanL"/>
          <w:color w:val="000000"/>
        </w:rPr>
        <w:t>l</w:t>
      </w:r>
      <w:r>
        <w:rPr>
          <w:rFonts w:ascii="NimbusSanL" w:hAnsi="NimbusSanL" w:cs="NimbusSanL"/>
          <w:color w:val="000000"/>
        </w:rPr>
        <w:t>os resultados en el cumplimiento del mandato que le ha sido confiado.</w:t>
      </w:r>
    </w:p>
    <w:p w:rsidR="00FB1A10" w:rsidRDefault="00FB1A10" w:rsidP="00FB1A10">
      <w:pPr>
        <w:autoSpaceDE w:val="0"/>
        <w:autoSpaceDN w:val="0"/>
        <w:adjustRightInd w:val="0"/>
        <w:spacing w:after="0" w:line="240" w:lineRule="auto"/>
        <w:jc w:val="both"/>
        <w:rPr>
          <w:rFonts w:ascii="NimbusSanL" w:hAnsi="NimbusSanL" w:cs="NimbusSanL"/>
          <w:color w:val="000000"/>
        </w:rPr>
      </w:pPr>
    </w:p>
    <w:p w:rsidR="00FB1A10" w:rsidRDefault="00FB1A10" w:rsidP="00FB1A10">
      <w:pPr>
        <w:autoSpaceDE w:val="0"/>
        <w:autoSpaceDN w:val="0"/>
        <w:adjustRightInd w:val="0"/>
        <w:spacing w:after="0" w:line="240" w:lineRule="auto"/>
        <w:jc w:val="both"/>
        <w:rPr>
          <w:rFonts w:ascii="NimbusSanL" w:hAnsi="NimbusSanL" w:cs="NimbusSanL"/>
          <w:color w:val="000000"/>
        </w:rPr>
      </w:pPr>
      <w:r>
        <w:rPr>
          <w:rFonts w:ascii="NimbusSanL" w:hAnsi="NimbusSanL" w:cs="NimbusSanL"/>
          <w:color w:val="000000"/>
        </w:rPr>
        <w:t>Todos los sujetos de vigilancia y control fiscal por parte de la Contraloría Departamental del Tolima</w:t>
      </w:r>
      <w:r w:rsidR="0013490D">
        <w:rPr>
          <w:rFonts w:ascii="NimbusSanL" w:hAnsi="NimbusSanL" w:cs="NimbusSanL"/>
          <w:color w:val="000000"/>
        </w:rPr>
        <w:t xml:space="preserve">, </w:t>
      </w:r>
      <w:r>
        <w:rPr>
          <w:rFonts w:ascii="NimbusSanL" w:hAnsi="NimbusSanL" w:cs="NimbusSanL"/>
          <w:color w:val="000000"/>
        </w:rPr>
        <w:t xml:space="preserve"> deberán rendir cuenta anual (por</w:t>
      </w:r>
      <w:r w:rsidR="00CF1581">
        <w:rPr>
          <w:rFonts w:ascii="NimbusSanL" w:hAnsi="NimbusSanL" w:cs="NimbusSanL"/>
          <w:color w:val="000000"/>
        </w:rPr>
        <w:t xml:space="preserve"> periodos comprendidos del 1°. d</w:t>
      </w:r>
      <w:r>
        <w:rPr>
          <w:rFonts w:ascii="NimbusSanL" w:hAnsi="NimbusSanL" w:cs="NimbusSanL"/>
          <w:color w:val="000000"/>
        </w:rPr>
        <w:t>e enero al 31 de diciembre</w:t>
      </w:r>
      <w:r w:rsidR="0013490D">
        <w:rPr>
          <w:rFonts w:ascii="NimbusSanL" w:hAnsi="NimbusSanL" w:cs="NimbusSanL"/>
          <w:color w:val="000000"/>
        </w:rPr>
        <w:t xml:space="preserve"> de la correspondiente vigencia</w:t>
      </w:r>
      <w:r>
        <w:rPr>
          <w:rFonts w:ascii="NimbusSanL" w:hAnsi="NimbusSanL" w:cs="NimbusSanL"/>
          <w:color w:val="000000"/>
        </w:rPr>
        <w:t>), de las actuaciones y resultados producto de la administración</w:t>
      </w:r>
      <w:r w:rsidR="0013490D">
        <w:rPr>
          <w:rFonts w:ascii="NimbusSanL" w:hAnsi="NimbusSanL" w:cs="NimbusSanL"/>
          <w:color w:val="000000"/>
        </w:rPr>
        <w:t xml:space="preserve">, </w:t>
      </w:r>
      <w:r>
        <w:rPr>
          <w:rFonts w:ascii="NimbusSanL" w:hAnsi="NimbusSanL" w:cs="NimbusSanL"/>
          <w:color w:val="000000"/>
        </w:rPr>
        <w:t xml:space="preserve"> de los recursos a su cargo a más tardar el primer día hábil del mes de marzo del año siguiente a la vigencia</w:t>
      </w:r>
      <w:r w:rsidR="005E4CEF">
        <w:rPr>
          <w:rFonts w:ascii="NimbusSanL" w:hAnsi="NimbusSanL" w:cs="NimbusSanL"/>
          <w:color w:val="000000"/>
        </w:rPr>
        <w:t>.</w:t>
      </w:r>
    </w:p>
    <w:p w:rsidR="00CC2C67" w:rsidRDefault="00CC2C67" w:rsidP="00FB1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BCE" w:rsidRDefault="00B65BCE" w:rsidP="00FB1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BCE" w:rsidRDefault="00B65BCE" w:rsidP="00FB1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61B" w:rsidRDefault="0002561B" w:rsidP="00FB1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61B" w:rsidRDefault="0002561B" w:rsidP="00FB1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61B" w:rsidRDefault="0002561B" w:rsidP="00FB1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61B" w:rsidRDefault="0002561B" w:rsidP="00FB1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61B" w:rsidRDefault="0002561B" w:rsidP="00FB1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1581" w:rsidRDefault="00CF1581" w:rsidP="00FB1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0963" w:rsidRDefault="000C0963" w:rsidP="00FB1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BCE" w:rsidRDefault="00B65BCE" w:rsidP="00FB1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0963" w:rsidRPr="00F11DDD" w:rsidRDefault="00A81F80" w:rsidP="006124CB">
      <w:pPr>
        <w:rPr>
          <w:rFonts w:ascii="Arial" w:hAnsi="Arial" w:cs="Arial"/>
          <w:szCs w:val="24"/>
        </w:rPr>
      </w:pPr>
      <w:bookmarkStart w:id="1" w:name="OLE_LINK1"/>
      <w:bookmarkStart w:id="2" w:name="OLE_LINK2"/>
      <w:r w:rsidRPr="00F11DDD">
        <w:rPr>
          <w:rFonts w:ascii="Arial" w:hAnsi="Arial" w:cs="Arial"/>
          <w:b/>
          <w:sz w:val="24"/>
          <w:szCs w:val="28"/>
        </w:rPr>
        <w:t>Procedimientos:</w:t>
      </w:r>
    </w:p>
    <w:tbl>
      <w:tblPr>
        <w:tblW w:w="88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0"/>
        <w:gridCol w:w="1200"/>
        <w:gridCol w:w="1200"/>
        <w:gridCol w:w="1540"/>
        <w:gridCol w:w="1200"/>
      </w:tblGrid>
      <w:tr w:rsidR="00544EB1" w:rsidRPr="00544EB1" w:rsidTr="00544EB1">
        <w:trPr>
          <w:trHeight w:val="300"/>
        </w:trPr>
        <w:tc>
          <w:tcPr>
            <w:tcW w:w="3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es-CO"/>
              </w:rPr>
            </w:pPr>
            <w:r w:rsidRPr="00544EB1">
              <w:rPr>
                <w:rFonts w:ascii="Tahoma" w:eastAsia="Times New Roman" w:hAnsi="Tahoma" w:cs="Tahoma"/>
                <w:b/>
                <w:bCs/>
                <w:color w:val="000000"/>
                <w:lang w:eastAsia="es-CO"/>
              </w:rPr>
              <w:t>Procedimiento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544E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Fecha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544E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Fecha Terminación</w:t>
            </w:r>
          </w:p>
        </w:tc>
        <w:tc>
          <w:tcPr>
            <w:tcW w:w="1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544E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Responsables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544E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Referencia  P/T</w:t>
            </w:r>
          </w:p>
        </w:tc>
      </w:tr>
      <w:tr w:rsidR="00544EB1" w:rsidRPr="00544EB1" w:rsidTr="00544EB1">
        <w:trPr>
          <w:trHeight w:val="300"/>
        </w:trPr>
        <w:tc>
          <w:tcPr>
            <w:tcW w:w="3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EB1" w:rsidRPr="00544EB1" w:rsidRDefault="00544EB1" w:rsidP="00544EB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es-C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544EB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  <w:t>Inicio</w:t>
            </w: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EB1" w:rsidRPr="00544EB1" w:rsidRDefault="00544EB1" w:rsidP="00544E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EB1" w:rsidRPr="00544EB1" w:rsidRDefault="00544EB1" w:rsidP="00544E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EB1" w:rsidRPr="00544EB1" w:rsidRDefault="00544EB1" w:rsidP="00544EB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</w:tr>
      <w:tr w:rsidR="00544EB1" w:rsidRPr="00544EB1" w:rsidTr="00544EB1">
        <w:trPr>
          <w:trHeight w:val="1785"/>
        </w:trPr>
        <w:tc>
          <w:tcPr>
            <w:tcW w:w="3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jc w:val="both"/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>Verificar que la cuenta anual de la vigencia de la administración o la entidad se haya rendido dentro del término otorgado para ello en la Resolución 254 de 2013, diligenciando la totalidad de formatos habilitados para ello. Construya observación sobre el Particular.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544EB1" w:rsidRPr="00544EB1" w:rsidTr="00544EB1">
        <w:trPr>
          <w:trHeight w:val="3293"/>
        </w:trPr>
        <w:tc>
          <w:tcPr>
            <w:tcW w:w="3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jc w:val="both"/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 xml:space="preserve">Analizar la información rendida </w:t>
            </w:r>
            <w:r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>a tra</w:t>
            </w:r>
            <w:r w:rsidRPr="00544EB1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>vés del SIA en el formato F02- Movimiento cuentas bancarias, verificando que el saldo final de contabilidad, tesorería y bancos concuerde con el saldo final de la cuenta 11.10 Depósitos en Instituciones Financieras reportados en el Balance General, modelo CGN 2005 001 “Saldos y Movimientos” del CHIP de la Contaduría General de la Nación con corte a 31 de diciembre. Si existen diferencias elabore cuadro reflejándolas y califique en matriz de control de gestión rendición d</w:t>
            </w:r>
            <w:r w:rsidR="0013490D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>e cuenta y requerir si amerita a ello.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544EB1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544EB1" w:rsidRPr="00544EB1" w:rsidTr="00544EB1">
        <w:trPr>
          <w:trHeight w:val="3825"/>
        </w:trPr>
        <w:tc>
          <w:tcPr>
            <w:tcW w:w="37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13490D">
            <w:pPr>
              <w:spacing w:after="0" w:line="240" w:lineRule="auto"/>
              <w:jc w:val="both"/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 xml:space="preserve">Confrontar la información rendida a través del SIA, los saldos reportados en el formato F04- Movimiento de inventarios con los saldos de las subcuentas de la </w:t>
            </w:r>
            <w:r w:rsidRPr="0013490D">
              <w:rPr>
                <w:rFonts w:ascii="NimbusSanL" w:eastAsia="Times New Roman" w:hAnsi="NimbusSanL" w:cs="Times New Roman"/>
                <w:b/>
                <w:color w:val="000000"/>
                <w:sz w:val="20"/>
                <w:szCs w:val="20"/>
                <w:lang w:eastAsia="es-CO"/>
              </w:rPr>
              <w:t>cuenta 15 Inventarios</w:t>
            </w:r>
            <w:r w:rsidRPr="00544EB1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>, del Balance general, modelo CGN 2005 001 “SALDOS Y MOVIMIENTOS” del CH</w:t>
            </w:r>
            <w:r w:rsidR="0013490D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>IP de la C</w:t>
            </w:r>
            <w:r w:rsidRPr="00544EB1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>ontaduría General de la Nación</w:t>
            </w:r>
            <w:r w:rsidR="0013490D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 xml:space="preserve">, </w:t>
            </w:r>
            <w:r w:rsidRPr="00544EB1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 xml:space="preserve"> con corte a 31 de diciembre, si existen diferencias, elaborar cuadro descriptivo en el que se reflejen las diferencias. El resultado obtenido debe tenerse en cuenta para calificar en la matriz de control </w:t>
            </w:r>
            <w:r w:rsidR="0013490D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 xml:space="preserve">de gestión- rendición de cuenta y requerir si amerita a ello.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544EB1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rPr>
                <w:rFonts w:ascii="NimbusSanL" w:eastAsia="Times New Roman" w:hAnsi="NimbusSanL" w:cs="Times New Roman"/>
                <w:color w:val="000000"/>
                <w:sz w:val="18"/>
                <w:szCs w:val="18"/>
                <w:lang w:eastAsia="es-CO"/>
              </w:rPr>
            </w:pPr>
            <w:r w:rsidRPr="00544EB1">
              <w:rPr>
                <w:rFonts w:ascii="NimbusSanL" w:eastAsia="Times New Roman" w:hAnsi="NimbusSanL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544EB1" w:rsidRPr="00544EB1" w:rsidTr="00544EB1">
        <w:trPr>
          <w:trHeight w:val="4400"/>
        </w:trPr>
        <w:tc>
          <w:tcPr>
            <w:tcW w:w="3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44EB1" w:rsidRPr="00544EB1" w:rsidRDefault="00544EB1" w:rsidP="002A3388">
            <w:pPr>
              <w:spacing w:after="0" w:line="240" w:lineRule="auto"/>
              <w:jc w:val="both"/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lastRenderedPageBreak/>
              <w:t xml:space="preserve">Confrontar la información rendida a través del SIA, los saldos reportados en el formato F09- ejecución presupuestal de ingresos, con los saldos de las subcuentas de la cuenta 4 en el Balance general, modelo </w:t>
            </w:r>
            <w:r w:rsidR="002A3388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>CGN-</w:t>
            </w:r>
            <w:r w:rsidRPr="00544EB1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>001 “SALDOS Y MOVIMIENTOS” del CHIP de la contaduría General de la Nación con corte a 31 de diciembre, si existen diferencias, elaborar cuadro descriptivo en el que se reflejen las diferencias. El resultado obtenido debe tenerse en cuenta para calificar en la matriz de control de gestión- rendición de cuenta. Cr</w:t>
            </w:r>
            <w:r w:rsidR="003710B9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>uce los saldos de la cuenta 4.1.</w:t>
            </w:r>
            <w:r w:rsidRPr="00544EB1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>05</w:t>
            </w:r>
            <w:r w:rsidR="003710B9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>.</w:t>
            </w:r>
            <w:r w:rsidRPr="00544EB1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>07 pr</w:t>
            </w:r>
            <w:r w:rsidR="003710B9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>edial unificado con la cuenta 1.</w:t>
            </w:r>
            <w:r w:rsidRPr="00544EB1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 xml:space="preserve">4 </w:t>
            </w:r>
            <w:r w:rsidR="002A3388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>Rentas por  cobrar</w:t>
            </w:r>
            <w:r w:rsidRPr="00544EB1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 xml:space="preserve"> y solicite un estado de gestión de cobro</w:t>
            </w:r>
            <w:r w:rsidR="004861E0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>.</w:t>
            </w:r>
            <w:r w:rsidR="00B719BC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 xml:space="preserve"> Concluya observación pertinente.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544EB1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rPr>
                <w:rFonts w:ascii="NimbusSanL" w:eastAsia="Times New Roman" w:hAnsi="NimbusSanL" w:cs="Times New Roman"/>
                <w:color w:val="000000"/>
                <w:sz w:val="18"/>
                <w:szCs w:val="18"/>
                <w:lang w:eastAsia="es-CO"/>
              </w:rPr>
            </w:pPr>
            <w:r w:rsidRPr="00544EB1">
              <w:rPr>
                <w:rFonts w:ascii="NimbusSanL" w:eastAsia="Times New Roman" w:hAnsi="NimbusSanL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544EB1" w:rsidRPr="00544EB1" w:rsidTr="00544EB1">
        <w:trPr>
          <w:trHeight w:val="3770"/>
        </w:trPr>
        <w:tc>
          <w:tcPr>
            <w:tcW w:w="3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2A3388">
            <w:pPr>
              <w:spacing w:after="0" w:line="240" w:lineRule="auto"/>
              <w:jc w:val="both"/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>Confrontar la información rendida a través del SIA, los saldos reportados en el formato F10- ejecución presupuestal de ingresos, con los saldos de las subcuentas de la cuenta 5  Gastos en</w:t>
            </w:r>
            <w:r w:rsidR="002A3388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 xml:space="preserve"> el Balance general, modelo CGN - </w:t>
            </w:r>
            <w:r w:rsidRPr="00544EB1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>001 “SALDOS Y MOVIMIENTOS” del C</w:t>
            </w:r>
            <w:r w:rsidR="002A3388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>HIP de la C</w:t>
            </w:r>
            <w:r w:rsidRPr="00544EB1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>ontaduría General de la Nación con corte a 31 de diciembre, si existen diferencias, elaborar cuadro descriptivo en el que se reflejen las diferencias. El resultado obtenido debe tenerse en cuenta para calificar en la matriz de control de gestión- rendición de cuenta, solicitando a la entidad auditada la información pertinente.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544EB1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rPr>
                <w:rFonts w:ascii="NimbusSanL" w:eastAsia="Times New Roman" w:hAnsi="NimbusSanL" w:cs="Times New Roman"/>
                <w:color w:val="000000"/>
                <w:sz w:val="18"/>
                <w:szCs w:val="18"/>
                <w:lang w:eastAsia="es-CO"/>
              </w:rPr>
            </w:pPr>
            <w:r w:rsidRPr="00544EB1">
              <w:rPr>
                <w:rFonts w:ascii="NimbusSanL" w:eastAsia="Times New Roman" w:hAnsi="NimbusSanL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544EB1" w:rsidRPr="00544EB1" w:rsidTr="00544EB1">
        <w:trPr>
          <w:trHeight w:val="3315"/>
        </w:trPr>
        <w:tc>
          <w:tcPr>
            <w:tcW w:w="37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2A3388">
            <w:pPr>
              <w:spacing w:after="0" w:line="240" w:lineRule="auto"/>
              <w:jc w:val="both"/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>Confrontar los saldos reportados en la información rendida a través del SIA en el formato F12- Boletín de almacén</w:t>
            </w:r>
            <w:r w:rsidR="002A3388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 xml:space="preserve">, </w:t>
            </w:r>
            <w:r w:rsidRPr="00544EB1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544EB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frente a los registros de</w:t>
            </w:r>
            <w:r w:rsidR="002A338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 xml:space="preserve"> la cuenta 16 propiedad Planta y equipo del </w:t>
            </w:r>
            <w:r w:rsidRPr="00544EB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 xml:space="preserve"> Balance General, Modelo CGN </w:t>
            </w:r>
            <w:r w:rsidR="002A3388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-</w:t>
            </w:r>
            <w:r w:rsidRPr="00544EB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 xml:space="preserve"> 001 “Saldos y Movimientos” del CHIP de la Contaduría General de la Nación con corte a 31 de diciembre</w:t>
            </w:r>
            <w:r w:rsidRPr="00544EB1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 xml:space="preserve">; si existen diferencias, elaborar cuadro descriptivo en el que se reflejen las diferencias. El resultado obtenido debe tenerse en cuenta para calificar en la matriz de control de gestión- rendición de cuenta.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544EB1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544EB1" w:rsidRPr="00544EB1" w:rsidTr="00544EB1">
        <w:trPr>
          <w:trHeight w:val="3570"/>
        </w:trPr>
        <w:tc>
          <w:tcPr>
            <w:tcW w:w="3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05506F">
            <w:pPr>
              <w:spacing w:after="0" w:line="240" w:lineRule="auto"/>
              <w:jc w:val="both"/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lastRenderedPageBreak/>
              <w:t>Revisar en formato F13- Póliza de amparo de fondos y bienes</w:t>
            </w:r>
            <w:r w:rsidR="0005506F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 xml:space="preserve">, </w:t>
            </w:r>
            <w:r w:rsidRPr="00544EB1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 xml:space="preserve"> que las pólizas relacionadas estén amparando el periodo a auditar y que el valor asegurado en la póliza de bienes guarde relación con el valor de la propiedad planta y equipo que aparece contabilizada en el </w:t>
            </w:r>
            <w:r w:rsidR="000550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 xml:space="preserve">Balance General, Modelo CGN- </w:t>
            </w:r>
            <w:r w:rsidRPr="00544EB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001 “Saldos y Movimientos” del CHIP de la Contaduría General de la Nación con corte a 31 de diciembre</w:t>
            </w:r>
            <w:r w:rsidRPr="00544EB1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 xml:space="preserve">. Construya </w:t>
            </w:r>
            <w:r w:rsidR="0005506F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 xml:space="preserve">observación sobre el particular, </w:t>
            </w:r>
            <w:r w:rsidRPr="00544EB1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 xml:space="preserve"> califique en matriz de Control de gestión- rendición de cuenta.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544EB1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544EB1" w:rsidRPr="00544EB1" w:rsidTr="00544EB1">
        <w:trPr>
          <w:trHeight w:val="2805"/>
        </w:trPr>
        <w:tc>
          <w:tcPr>
            <w:tcW w:w="3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4EB1" w:rsidRDefault="00544EB1" w:rsidP="00544EB1">
            <w:pPr>
              <w:spacing w:after="0" w:line="240" w:lineRule="auto"/>
              <w:jc w:val="both"/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>Constatar que la información contractual reportada a través de la cuenta anual (formato F14) coincida con la reg</w:t>
            </w:r>
            <w:r w:rsidR="0005506F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 xml:space="preserve">istrada en contratación visible </w:t>
            </w:r>
            <w:r w:rsidRPr="00544EB1"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  <w:t>(cuenta rendida correspondiente a la vigencia 2015) y en el aplicativo SIA OBSERVA (a partir de la rendición de la cuenta  vigencia 2016) y en el SECOP para el mismo periodo.  Analice el diligenciamiento del formato; registre calificación en matriz de control de gestión Rendición de Cuenta.</w:t>
            </w:r>
          </w:p>
          <w:p w:rsidR="0067190B" w:rsidRPr="00544EB1" w:rsidRDefault="0067190B" w:rsidP="00544EB1">
            <w:pPr>
              <w:spacing w:after="0" w:line="240" w:lineRule="auto"/>
              <w:jc w:val="both"/>
              <w:rPr>
                <w:rFonts w:ascii="NimbusSanL" w:eastAsia="Times New Roman" w:hAnsi="NimbusSanL" w:cs="Times New Roman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544EB1" w:rsidRPr="00544EB1" w:rsidTr="00622F4D">
        <w:trPr>
          <w:trHeight w:val="2805"/>
        </w:trPr>
        <w:tc>
          <w:tcPr>
            <w:tcW w:w="37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44EB1" w:rsidRPr="00544EB1" w:rsidRDefault="00544EB1" w:rsidP="0050567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 w:rsidRPr="00544EB1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 xml:space="preserve">En el proceso de la revisión del formato F20 CDT – </w:t>
            </w:r>
            <w:r w:rsidR="006F125A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 xml:space="preserve">Mapa de Riesgos,  </w:t>
            </w:r>
            <w:r w:rsidR="0067190B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 xml:space="preserve">evalúe  los riesgos registrados, las </w:t>
            </w:r>
            <w:r w:rsidR="006F125A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>acciones propuestas y el estado de las mismas.</w:t>
            </w:r>
            <w:r w:rsidR="0067190B" w:rsidRPr="00544EB1"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 xml:space="preserve"> </w:t>
            </w:r>
            <w:r w:rsidRPr="00544EB1">
              <w:rPr>
                <w:rFonts w:ascii="NimbusSanL" w:eastAsia="Times New Roman" w:hAnsi="NimbusSanL" w:cs="Tahoma"/>
                <w:sz w:val="20"/>
                <w:szCs w:val="20"/>
                <w:lang w:eastAsia="es-CO"/>
              </w:rPr>
              <w:t>Califique en matriz de Control de Gestión rendición de cuenta.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544EB1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</w:pPr>
            <w:r w:rsidRPr="00544EB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CO"/>
              </w:rPr>
              <w:t> </w:t>
            </w:r>
          </w:p>
        </w:tc>
      </w:tr>
      <w:tr w:rsidR="00544EB1" w:rsidRPr="00544EB1" w:rsidTr="00622F4D">
        <w:trPr>
          <w:trHeight w:val="4335"/>
        </w:trPr>
        <w:tc>
          <w:tcPr>
            <w:tcW w:w="3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05506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lastRenderedPageBreak/>
              <w:t>En el proceso de la revisión del formato F21 CDT – Litigios y Demandas, cotejé el valor t</w:t>
            </w:r>
            <w:r w:rsidR="000550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otal del cuadro de las demandas</w:t>
            </w:r>
            <w:r w:rsidRPr="00544EB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 xml:space="preserve"> presentada</w:t>
            </w:r>
            <w:r w:rsidR="000550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s</w:t>
            </w:r>
            <w:r w:rsidRPr="00544EB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 xml:space="preserve"> en la rendición de la cuenta anual,  rendida a través del aplicativo “SIA”, frente a los registros del Balance General, Modelo CGN</w:t>
            </w:r>
            <w:r w:rsidR="0005506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 xml:space="preserve"> -</w:t>
            </w:r>
            <w:r w:rsidRPr="00544EB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 xml:space="preserve"> 001 “Saldos y Movimientos” del CHIP de la Contaduría General de la Nación con corte a 31 de diciembre de la vigencia a auditar,</w:t>
            </w:r>
            <w:r w:rsidRPr="00544EB1">
              <w:rPr>
                <w:rFonts w:ascii="NimbusSanL" w:eastAsia="Times New Roman" w:hAnsi="NimbusSanL" w:cs="Tahoma"/>
                <w:color w:val="000000"/>
                <w:sz w:val="20"/>
                <w:szCs w:val="20"/>
                <w:lang w:eastAsia="es-CO"/>
              </w:rPr>
              <w:t xml:space="preserve"> se tenga registro de la provisión en proporción razonable a las pretensiones notificadas a la entidad pública; Califique en matriz de Control de Gestión rendición de cuenta</w:t>
            </w:r>
            <w:r w:rsidR="0005506F">
              <w:rPr>
                <w:rFonts w:ascii="NimbusSanL" w:eastAsia="Times New Roman" w:hAnsi="NimbusSanL" w:cs="Tahoma"/>
                <w:color w:val="000000"/>
                <w:sz w:val="20"/>
                <w:szCs w:val="20"/>
                <w:lang w:eastAsia="es-CO"/>
              </w:rPr>
              <w:t>,</w:t>
            </w:r>
            <w:r w:rsidRPr="00544EB1">
              <w:rPr>
                <w:rFonts w:ascii="NimbusSanL" w:eastAsia="Times New Roman" w:hAnsi="NimbusSanL" w:cs="Tahoma"/>
                <w:color w:val="000000"/>
                <w:sz w:val="20"/>
                <w:szCs w:val="20"/>
                <w:lang w:eastAsia="es-CO"/>
              </w:rPr>
              <w:t xml:space="preserve"> lo correspondiente a la oportunidad y calidad del Valor provisionado.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544EB1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  <w:tr w:rsidR="00544EB1" w:rsidRPr="00544EB1" w:rsidTr="00544EB1">
        <w:trPr>
          <w:trHeight w:val="2040"/>
        </w:trPr>
        <w:tc>
          <w:tcPr>
            <w:tcW w:w="3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 xml:space="preserve">En el proceso de la revisión del formato F23- CDT – Informe Avance Plan de Mejoramiento de revisión de </w:t>
            </w:r>
            <w:r w:rsidR="00044D1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 xml:space="preserve">la </w:t>
            </w:r>
            <w:r w:rsidRPr="00544EB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cuenta, si lo hay,  realice seguimiento al cumplimiento de las acciones suscritas por el sujeto vigilado. Registre calificación en matriz de control de gestión Rendición de Cuenta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O"/>
              </w:rPr>
            </w:pPr>
            <w:r w:rsidRPr="00544EB1">
              <w:rPr>
                <w:rFonts w:ascii="Calibri" w:eastAsia="Times New Roman" w:hAnsi="Calibri" w:cs="Times New Roman"/>
                <w:color w:val="000000"/>
                <w:lang w:eastAsia="es-C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4EB1" w:rsidRPr="00544EB1" w:rsidRDefault="00544EB1" w:rsidP="00544EB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544EB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 </w:t>
            </w:r>
          </w:p>
        </w:tc>
      </w:tr>
    </w:tbl>
    <w:p w:rsidR="00E51942" w:rsidRDefault="00CC2F02" w:rsidP="00504D9E">
      <w:pPr>
        <w:pStyle w:val="29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jc w:val="both"/>
        <w:rPr>
          <w:rFonts w:ascii="Arial" w:hAnsi="Arial" w:cs="Arial"/>
          <w:color w:val="auto"/>
          <w:sz w:val="24"/>
          <w:szCs w:val="24"/>
          <w:lang w:val="es-ES"/>
        </w:rPr>
      </w:pPr>
      <w:r w:rsidRPr="002C7889">
        <w:rPr>
          <w:rFonts w:ascii="Arial" w:hAnsi="Arial" w:cs="Arial"/>
          <w:color w:val="auto"/>
          <w:lang w:val="es-ES"/>
        </w:rPr>
        <w:br w:type="textWrapping" w:clear="all"/>
      </w:r>
    </w:p>
    <w:p w:rsidR="00D26A27" w:rsidRDefault="00D26A27" w:rsidP="00504D9E">
      <w:pPr>
        <w:pStyle w:val="Textoindependiente3"/>
        <w:rPr>
          <w:rFonts w:ascii="Tahoma" w:hAnsi="Tahoma" w:cs="Tahoma"/>
          <w:b/>
          <w:sz w:val="22"/>
          <w:szCs w:val="22"/>
        </w:rPr>
      </w:pPr>
    </w:p>
    <w:p w:rsidR="00F42C3A" w:rsidRDefault="00F42C3A" w:rsidP="00B22B7F">
      <w:pPr>
        <w:pStyle w:val="29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jc w:val="both"/>
        <w:rPr>
          <w:rFonts w:ascii="Arial" w:hAnsi="Arial" w:cs="Arial"/>
          <w:color w:val="auto"/>
          <w:sz w:val="24"/>
          <w:szCs w:val="24"/>
          <w:lang w:val="es-ES"/>
        </w:rPr>
      </w:pPr>
    </w:p>
    <w:p w:rsidR="00F42C3A" w:rsidRDefault="00F42C3A" w:rsidP="00B22B7F">
      <w:pPr>
        <w:pStyle w:val="29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jc w:val="both"/>
        <w:rPr>
          <w:rFonts w:ascii="Arial" w:hAnsi="Arial" w:cs="Arial"/>
          <w:color w:val="auto"/>
          <w:sz w:val="24"/>
          <w:szCs w:val="24"/>
          <w:lang w:val="es-ES"/>
        </w:rPr>
      </w:pPr>
    </w:p>
    <w:p w:rsidR="00F42C3A" w:rsidRDefault="00F42C3A" w:rsidP="00B22B7F">
      <w:pPr>
        <w:pStyle w:val="29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jc w:val="both"/>
        <w:rPr>
          <w:rFonts w:ascii="Arial" w:hAnsi="Arial" w:cs="Arial"/>
          <w:color w:val="auto"/>
          <w:sz w:val="24"/>
          <w:szCs w:val="24"/>
          <w:lang w:val="es-ES"/>
        </w:rPr>
      </w:pPr>
    </w:p>
    <w:p w:rsidR="00F42C3A" w:rsidRDefault="00F42C3A" w:rsidP="00B22B7F">
      <w:pPr>
        <w:pStyle w:val="29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jc w:val="both"/>
        <w:rPr>
          <w:rFonts w:ascii="Arial" w:hAnsi="Arial" w:cs="Arial"/>
          <w:color w:val="auto"/>
          <w:sz w:val="24"/>
          <w:szCs w:val="24"/>
          <w:lang w:val="es-ES"/>
        </w:rPr>
      </w:pPr>
    </w:p>
    <w:p w:rsidR="00F42C3A" w:rsidRDefault="00F42C3A" w:rsidP="00B22B7F">
      <w:pPr>
        <w:pStyle w:val="29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jc w:val="both"/>
        <w:rPr>
          <w:rFonts w:ascii="Arial" w:hAnsi="Arial" w:cs="Arial"/>
          <w:color w:val="auto"/>
          <w:sz w:val="24"/>
          <w:szCs w:val="24"/>
          <w:lang w:val="es-ES"/>
        </w:rPr>
      </w:pPr>
    </w:p>
    <w:p w:rsidR="00F42C3A" w:rsidRDefault="00F42C3A" w:rsidP="00B22B7F">
      <w:pPr>
        <w:pStyle w:val="29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jc w:val="both"/>
        <w:rPr>
          <w:rFonts w:ascii="Arial" w:hAnsi="Arial" w:cs="Arial"/>
          <w:color w:val="auto"/>
          <w:sz w:val="24"/>
          <w:szCs w:val="24"/>
          <w:lang w:val="es-ES"/>
        </w:rPr>
      </w:pPr>
    </w:p>
    <w:p w:rsidR="00F42C3A" w:rsidRDefault="00F42C3A" w:rsidP="00B22B7F">
      <w:pPr>
        <w:pStyle w:val="29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jc w:val="both"/>
        <w:rPr>
          <w:rFonts w:ascii="Arial" w:hAnsi="Arial" w:cs="Arial"/>
          <w:color w:val="auto"/>
          <w:sz w:val="24"/>
          <w:szCs w:val="24"/>
          <w:lang w:val="es-ES"/>
        </w:rPr>
      </w:pPr>
    </w:p>
    <w:p w:rsidR="00F42C3A" w:rsidRDefault="00F42C3A" w:rsidP="00B22B7F">
      <w:pPr>
        <w:pStyle w:val="29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jc w:val="both"/>
        <w:rPr>
          <w:rFonts w:ascii="Arial" w:hAnsi="Arial" w:cs="Arial"/>
          <w:color w:val="auto"/>
          <w:sz w:val="24"/>
          <w:szCs w:val="24"/>
          <w:lang w:val="es-ES"/>
        </w:rPr>
      </w:pPr>
    </w:p>
    <w:bookmarkEnd w:id="1"/>
    <w:bookmarkEnd w:id="2"/>
    <w:p w:rsidR="00F42C3A" w:rsidRPr="001B6552" w:rsidRDefault="00F42C3A" w:rsidP="00B22B7F">
      <w:pPr>
        <w:pStyle w:val="29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jc w:val="both"/>
        <w:rPr>
          <w:rFonts w:ascii="Arial" w:hAnsi="Arial" w:cs="Arial"/>
          <w:color w:val="auto"/>
          <w:sz w:val="24"/>
          <w:szCs w:val="24"/>
          <w:lang w:val="es-ES"/>
        </w:rPr>
      </w:pPr>
    </w:p>
    <w:sectPr w:rsidR="00F42C3A" w:rsidRPr="001B6552" w:rsidSect="00A17E00">
      <w:headerReference w:type="default" r:id="rId9"/>
      <w:footerReference w:type="default" r:id="rId10"/>
      <w:pgSz w:w="12240" w:h="15840"/>
      <w:pgMar w:top="2268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98B" w:rsidRDefault="001A398B" w:rsidP="00A17E00">
      <w:pPr>
        <w:spacing w:after="0" w:line="240" w:lineRule="auto"/>
      </w:pPr>
      <w:r>
        <w:separator/>
      </w:r>
    </w:p>
  </w:endnote>
  <w:endnote w:type="continuationSeparator" w:id="0">
    <w:p w:rsidR="001A398B" w:rsidRDefault="001A398B" w:rsidP="00A17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San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B54" w:rsidRDefault="0069463D" w:rsidP="00D41129">
    <w:pPr>
      <w:pStyle w:val="Piedepgina"/>
      <w:rPr>
        <w:rFonts w:ascii="Tahoma" w:hAnsi="Tahoma" w:cs="Tahoma"/>
        <w:b/>
        <w:color w:val="008000"/>
        <w:sz w:val="18"/>
        <w:szCs w:val="18"/>
        <w:lang w:val="es-MX"/>
      </w:rPr>
    </w:pPr>
    <w:r w:rsidRPr="007532E0">
      <w:rPr>
        <w:rFonts w:ascii="Tahoma" w:eastAsia="Tahoma" w:hAnsi="Tahoma" w:cs="Tahoma"/>
        <w:sz w:val="18"/>
        <w:szCs w:val="18"/>
      </w:rPr>
      <w:t>A</w:t>
    </w:r>
    <w:r w:rsidRPr="007532E0">
      <w:rPr>
        <w:rFonts w:ascii="Tahoma" w:eastAsia="Tahoma" w:hAnsi="Tahoma" w:cs="Tahoma"/>
        <w:spacing w:val="-1"/>
        <w:sz w:val="18"/>
        <w:szCs w:val="18"/>
      </w:rPr>
      <w:t>p</w:t>
    </w:r>
    <w:r w:rsidRPr="007532E0">
      <w:rPr>
        <w:rFonts w:ascii="Tahoma" w:eastAsia="Tahoma" w:hAnsi="Tahoma" w:cs="Tahoma"/>
        <w:sz w:val="18"/>
        <w:szCs w:val="18"/>
      </w:rPr>
      <w:t>ro</w:t>
    </w:r>
    <w:r w:rsidRPr="007532E0">
      <w:rPr>
        <w:rFonts w:ascii="Tahoma" w:eastAsia="Tahoma" w:hAnsi="Tahoma" w:cs="Tahoma"/>
        <w:spacing w:val="-1"/>
        <w:sz w:val="18"/>
        <w:szCs w:val="18"/>
      </w:rPr>
      <w:t>bad</w:t>
    </w:r>
    <w:r w:rsidRPr="007532E0">
      <w:rPr>
        <w:rFonts w:ascii="Tahoma" w:eastAsia="Tahoma" w:hAnsi="Tahoma" w:cs="Tahoma"/>
        <w:sz w:val="18"/>
        <w:szCs w:val="18"/>
      </w:rPr>
      <w:t>o</w:t>
    </w:r>
    <w:r w:rsidRPr="007532E0">
      <w:rPr>
        <w:rFonts w:ascii="Tahoma" w:eastAsia="Tahoma" w:hAnsi="Tahoma" w:cs="Tahoma"/>
        <w:spacing w:val="2"/>
        <w:sz w:val="18"/>
        <w:szCs w:val="18"/>
      </w:rPr>
      <w:t xml:space="preserve"> </w:t>
    </w:r>
    <w:r>
      <w:rPr>
        <w:rFonts w:eastAsia="Tahoma" w:cs="Tahoma"/>
        <w:sz w:val="18"/>
        <w:szCs w:val="18"/>
      </w:rPr>
      <w:t>30</w:t>
    </w:r>
    <w:r w:rsidRPr="007532E0">
      <w:rPr>
        <w:rFonts w:ascii="Tahoma" w:eastAsia="Tahoma" w:hAnsi="Tahoma" w:cs="Tahoma"/>
        <w:spacing w:val="-1"/>
        <w:sz w:val="18"/>
        <w:szCs w:val="18"/>
      </w:rPr>
      <w:t xml:space="preserve"> </w:t>
    </w:r>
    <w:r w:rsidRPr="007532E0">
      <w:rPr>
        <w:rFonts w:ascii="Tahoma" w:eastAsia="Tahoma" w:hAnsi="Tahoma" w:cs="Tahoma"/>
        <w:spacing w:val="1"/>
        <w:sz w:val="18"/>
        <w:szCs w:val="18"/>
      </w:rPr>
      <w:t>d</w:t>
    </w:r>
    <w:r w:rsidRPr="007532E0">
      <w:rPr>
        <w:rFonts w:ascii="Tahoma" w:eastAsia="Tahoma" w:hAnsi="Tahoma" w:cs="Tahoma"/>
        <w:sz w:val="18"/>
        <w:szCs w:val="18"/>
      </w:rPr>
      <w:t>e</w:t>
    </w:r>
    <w:r w:rsidRPr="007532E0">
      <w:rPr>
        <w:rFonts w:ascii="Tahoma" w:eastAsia="Tahoma" w:hAnsi="Tahoma" w:cs="Tahoma"/>
        <w:spacing w:val="-2"/>
        <w:sz w:val="18"/>
        <w:szCs w:val="18"/>
      </w:rPr>
      <w:t xml:space="preserve"> </w:t>
    </w:r>
    <w:r w:rsidRPr="007532E0">
      <w:rPr>
        <w:rFonts w:ascii="Tahoma" w:eastAsia="Tahoma" w:hAnsi="Tahoma" w:cs="Tahoma"/>
        <w:sz w:val="18"/>
        <w:szCs w:val="18"/>
      </w:rPr>
      <w:t>ju</w:t>
    </w:r>
    <w:r>
      <w:rPr>
        <w:rFonts w:eastAsia="Tahoma" w:cs="Tahoma"/>
        <w:spacing w:val="2"/>
        <w:sz w:val="18"/>
        <w:szCs w:val="18"/>
      </w:rPr>
      <w:t>nio</w:t>
    </w:r>
    <w:r w:rsidRPr="007532E0">
      <w:rPr>
        <w:rFonts w:ascii="Tahoma" w:eastAsia="Tahoma" w:hAnsi="Tahoma" w:cs="Tahoma"/>
        <w:spacing w:val="-1"/>
        <w:sz w:val="18"/>
        <w:szCs w:val="18"/>
      </w:rPr>
      <w:t xml:space="preserve"> </w:t>
    </w:r>
    <w:r w:rsidRPr="007532E0">
      <w:rPr>
        <w:rFonts w:ascii="Tahoma" w:eastAsia="Tahoma" w:hAnsi="Tahoma" w:cs="Tahoma"/>
        <w:spacing w:val="1"/>
        <w:sz w:val="18"/>
        <w:szCs w:val="18"/>
      </w:rPr>
      <w:t>d</w:t>
    </w:r>
    <w:r w:rsidRPr="007532E0">
      <w:rPr>
        <w:rFonts w:ascii="Tahoma" w:eastAsia="Tahoma" w:hAnsi="Tahoma" w:cs="Tahoma"/>
        <w:sz w:val="18"/>
        <w:szCs w:val="18"/>
      </w:rPr>
      <w:t>e</w:t>
    </w:r>
    <w:r w:rsidRPr="007532E0">
      <w:rPr>
        <w:rFonts w:ascii="Tahoma" w:eastAsia="Tahoma" w:hAnsi="Tahoma" w:cs="Tahoma"/>
        <w:spacing w:val="-2"/>
        <w:sz w:val="18"/>
        <w:szCs w:val="18"/>
      </w:rPr>
      <w:t xml:space="preserve"> </w:t>
    </w:r>
    <w:r w:rsidRPr="007532E0">
      <w:rPr>
        <w:rFonts w:ascii="Tahoma" w:eastAsia="Tahoma" w:hAnsi="Tahoma" w:cs="Tahoma"/>
        <w:sz w:val="18"/>
        <w:szCs w:val="18"/>
      </w:rPr>
      <w:t>20</w:t>
    </w:r>
    <w:r w:rsidRPr="007532E0">
      <w:rPr>
        <w:rFonts w:ascii="Tahoma" w:eastAsia="Tahoma" w:hAnsi="Tahoma" w:cs="Tahoma"/>
        <w:spacing w:val="1"/>
        <w:sz w:val="18"/>
        <w:szCs w:val="18"/>
      </w:rPr>
      <w:t>1</w:t>
    </w:r>
    <w:r>
      <w:rPr>
        <w:rFonts w:eastAsia="Tahoma" w:cs="Tahoma"/>
        <w:sz w:val="18"/>
        <w:szCs w:val="18"/>
      </w:rPr>
      <w:t>6</w:t>
    </w:r>
    <w:r w:rsidRPr="007532E0">
      <w:rPr>
        <w:rFonts w:ascii="Tahoma" w:eastAsia="Tahoma" w:hAnsi="Tahoma" w:cs="Tahoma"/>
        <w:sz w:val="18"/>
        <w:szCs w:val="18"/>
      </w:rPr>
      <w:t xml:space="preserve"> </w:t>
    </w:r>
    <w:r w:rsidRPr="007532E0">
      <w:rPr>
        <w:rFonts w:ascii="Tahoma" w:eastAsia="Tahoma" w:hAnsi="Tahoma" w:cs="Tahoma"/>
        <w:spacing w:val="1"/>
        <w:sz w:val="18"/>
        <w:szCs w:val="18"/>
      </w:rPr>
      <w:t xml:space="preserve"> </w:t>
    </w:r>
    <w:r w:rsidRPr="007532E0">
      <w:rPr>
        <w:rFonts w:ascii="Tahoma" w:eastAsia="Tahoma" w:hAnsi="Tahoma" w:cs="Tahoma"/>
        <w:b/>
        <w:color w:val="008000"/>
        <w:sz w:val="18"/>
        <w:szCs w:val="18"/>
      </w:rPr>
      <w:t>CO</w:t>
    </w:r>
    <w:r w:rsidRPr="007532E0">
      <w:rPr>
        <w:rFonts w:ascii="Tahoma" w:eastAsia="Tahoma" w:hAnsi="Tahoma" w:cs="Tahoma"/>
        <w:b/>
        <w:color w:val="008000"/>
        <w:spacing w:val="-1"/>
        <w:sz w:val="18"/>
        <w:szCs w:val="18"/>
      </w:rPr>
      <w:t>P</w:t>
    </w:r>
    <w:r w:rsidRPr="007532E0">
      <w:rPr>
        <w:rFonts w:ascii="Tahoma" w:eastAsia="Tahoma" w:hAnsi="Tahoma" w:cs="Tahoma"/>
        <w:b/>
        <w:color w:val="008000"/>
        <w:sz w:val="18"/>
        <w:szCs w:val="18"/>
      </w:rPr>
      <w:t>IA</w:t>
    </w:r>
    <w:r w:rsidRPr="007532E0">
      <w:rPr>
        <w:rFonts w:ascii="Tahoma" w:eastAsia="Tahoma" w:hAnsi="Tahoma" w:cs="Tahoma"/>
        <w:b/>
        <w:color w:val="008000"/>
        <w:spacing w:val="-1"/>
        <w:sz w:val="18"/>
        <w:szCs w:val="18"/>
      </w:rPr>
      <w:t xml:space="preserve"> </w:t>
    </w:r>
    <w:r w:rsidRPr="007532E0">
      <w:rPr>
        <w:rFonts w:ascii="Tahoma" w:eastAsia="Tahoma" w:hAnsi="Tahoma" w:cs="Tahoma"/>
        <w:b/>
        <w:color w:val="008000"/>
        <w:sz w:val="18"/>
        <w:szCs w:val="18"/>
      </w:rPr>
      <w:t>CON</w:t>
    </w:r>
    <w:r w:rsidRPr="007532E0">
      <w:rPr>
        <w:rFonts w:ascii="Tahoma" w:eastAsia="Tahoma" w:hAnsi="Tahoma" w:cs="Tahoma"/>
        <w:b/>
        <w:color w:val="008000"/>
        <w:spacing w:val="1"/>
        <w:sz w:val="18"/>
        <w:szCs w:val="18"/>
      </w:rPr>
      <w:t>T</w:t>
    </w:r>
    <w:r w:rsidRPr="007532E0">
      <w:rPr>
        <w:rFonts w:ascii="Tahoma" w:eastAsia="Tahoma" w:hAnsi="Tahoma" w:cs="Tahoma"/>
        <w:b/>
        <w:color w:val="008000"/>
        <w:spacing w:val="-1"/>
        <w:sz w:val="18"/>
        <w:szCs w:val="18"/>
      </w:rPr>
      <w:t>R</w:t>
    </w:r>
    <w:r w:rsidRPr="007532E0">
      <w:rPr>
        <w:rFonts w:ascii="Tahoma" w:eastAsia="Tahoma" w:hAnsi="Tahoma" w:cs="Tahoma"/>
        <w:b/>
        <w:color w:val="008000"/>
        <w:sz w:val="18"/>
        <w:szCs w:val="18"/>
      </w:rPr>
      <w:t>OL</w:t>
    </w:r>
    <w:r w:rsidRPr="007532E0">
      <w:rPr>
        <w:rFonts w:ascii="Tahoma" w:eastAsia="Tahoma" w:hAnsi="Tahoma" w:cs="Tahoma"/>
        <w:b/>
        <w:color w:val="008000"/>
        <w:spacing w:val="-1"/>
        <w:sz w:val="18"/>
        <w:szCs w:val="18"/>
      </w:rPr>
      <w:t>A</w:t>
    </w:r>
    <w:r w:rsidRPr="007532E0">
      <w:rPr>
        <w:rFonts w:ascii="Tahoma" w:eastAsia="Tahoma" w:hAnsi="Tahoma" w:cs="Tahoma"/>
        <w:b/>
        <w:color w:val="008000"/>
        <w:sz w:val="18"/>
        <w:szCs w:val="18"/>
      </w:rPr>
      <w:t>DA</w:t>
    </w:r>
    <w:r>
      <w:rPr>
        <w:noProof/>
        <w:lang w:eastAsia="es-CO"/>
      </w:rPr>
      <w:t xml:space="preserve"> </w:t>
    </w:r>
    <w:r w:rsidR="00883B5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4629150</wp:posOffset>
              </wp:positionH>
              <wp:positionV relativeFrom="paragraph">
                <wp:posOffset>-116840</wp:posOffset>
              </wp:positionV>
              <wp:extent cx="938530" cy="368935"/>
              <wp:effectExtent l="13335" t="8255" r="10160" b="635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8530" cy="368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83B54" w:rsidRPr="00996BA6" w:rsidRDefault="00883B54" w:rsidP="00D41129">
                          <w:pPr>
                            <w:rPr>
                              <w:rFonts w:ascii="Tahoma" w:hAnsi="Tahoma" w:cs="Tahoma"/>
                              <w:sz w:val="16"/>
                              <w:szCs w:val="14"/>
                            </w:rPr>
                          </w:pPr>
                          <w:r w:rsidRPr="00996BA6">
                            <w:rPr>
                              <w:rFonts w:ascii="Tahoma" w:hAnsi="Tahoma" w:cs="Tahoma"/>
                              <w:sz w:val="16"/>
                              <w:szCs w:val="14"/>
                            </w:rPr>
                            <w:t xml:space="preserve">Página </w:t>
                          </w:r>
                          <w:r w:rsidRPr="00996BA6">
                            <w:rPr>
                              <w:rFonts w:ascii="Tahoma" w:hAnsi="Tahoma" w:cs="Tahoma"/>
                              <w:bCs/>
                              <w:sz w:val="16"/>
                              <w:szCs w:val="14"/>
                            </w:rPr>
                            <w:fldChar w:fldCharType="begin"/>
                          </w:r>
                          <w:r w:rsidRPr="00996BA6">
                            <w:rPr>
                              <w:rFonts w:ascii="Tahoma" w:hAnsi="Tahoma" w:cs="Tahoma"/>
                              <w:bCs/>
                              <w:sz w:val="16"/>
                              <w:szCs w:val="14"/>
                            </w:rPr>
                            <w:instrText>PAGE</w:instrText>
                          </w:r>
                          <w:r w:rsidRPr="00996BA6">
                            <w:rPr>
                              <w:rFonts w:ascii="Tahoma" w:hAnsi="Tahoma" w:cs="Tahoma"/>
                              <w:bCs/>
                              <w:sz w:val="16"/>
                              <w:szCs w:val="14"/>
                            </w:rPr>
                            <w:fldChar w:fldCharType="separate"/>
                          </w:r>
                          <w:r w:rsidR="0069463D">
                            <w:rPr>
                              <w:rFonts w:ascii="Tahoma" w:hAnsi="Tahoma" w:cs="Tahoma"/>
                              <w:bCs/>
                              <w:noProof/>
                              <w:sz w:val="16"/>
                              <w:szCs w:val="14"/>
                            </w:rPr>
                            <w:t>3</w:t>
                          </w:r>
                          <w:r w:rsidRPr="00996BA6">
                            <w:rPr>
                              <w:rFonts w:ascii="Tahoma" w:hAnsi="Tahoma" w:cs="Tahoma"/>
                              <w:bCs/>
                              <w:sz w:val="16"/>
                              <w:szCs w:val="14"/>
                            </w:rPr>
                            <w:fldChar w:fldCharType="end"/>
                          </w:r>
                          <w:r w:rsidRPr="00996BA6">
                            <w:rPr>
                              <w:rFonts w:ascii="Tahoma" w:hAnsi="Tahoma" w:cs="Tahoma"/>
                              <w:sz w:val="16"/>
                              <w:szCs w:val="14"/>
                            </w:rPr>
                            <w:t xml:space="preserve"> de </w:t>
                          </w:r>
                          <w:r w:rsidRPr="00996BA6">
                            <w:rPr>
                              <w:rFonts w:ascii="Tahoma" w:hAnsi="Tahoma" w:cs="Tahoma"/>
                              <w:bCs/>
                              <w:sz w:val="16"/>
                              <w:szCs w:val="14"/>
                            </w:rPr>
                            <w:fldChar w:fldCharType="begin"/>
                          </w:r>
                          <w:r w:rsidRPr="00996BA6">
                            <w:rPr>
                              <w:rFonts w:ascii="Tahoma" w:hAnsi="Tahoma" w:cs="Tahoma"/>
                              <w:bCs/>
                              <w:sz w:val="16"/>
                              <w:szCs w:val="14"/>
                            </w:rPr>
                            <w:instrText>NUMPAGES</w:instrText>
                          </w:r>
                          <w:r w:rsidRPr="00996BA6">
                            <w:rPr>
                              <w:rFonts w:ascii="Tahoma" w:hAnsi="Tahoma" w:cs="Tahoma"/>
                              <w:bCs/>
                              <w:sz w:val="16"/>
                              <w:szCs w:val="14"/>
                            </w:rPr>
                            <w:fldChar w:fldCharType="separate"/>
                          </w:r>
                          <w:r w:rsidR="0069463D">
                            <w:rPr>
                              <w:rFonts w:ascii="Tahoma" w:hAnsi="Tahoma" w:cs="Tahoma"/>
                              <w:bCs/>
                              <w:noProof/>
                              <w:sz w:val="16"/>
                              <w:szCs w:val="14"/>
                            </w:rPr>
                            <w:t>5</w:t>
                          </w:r>
                          <w:r w:rsidRPr="00996BA6">
                            <w:rPr>
                              <w:rFonts w:ascii="Tahoma" w:hAnsi="Tahoma" w:cs="Tahoma"/>
                              <w:bCs/>
                              <w:sz w:val="16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64.5pt;margin-top:-9.2pt;width:73.9pt;height:29.0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">
              <v:textbox style="mso-fit-shape-to-text:t">
                <w:txbxContent>
                  <w:p w:rsidR="00883B54" w:rsidRPr="00996BA6" w:rsidRDefault="00883B54" w:rsidP="00D41129">
                    <w:pPr>
                      <w:rPr>
                        <w:rFonts w:ascii="Tahoma" w:hAnsi="Tahoma" w:cs="Tahoma"/>
                        <w:sz w:val="16"/>
                        <w:szCs w:val="14"/>
                      </w:rPr>
                    </w:pPr>
                    <w:r w:rsidRPr="00996BA6">
                      <w:rPr>
                        <w:rFonts w:ascii="Tahoma" w:hAnsi="Tahoma" w:cs="Tahoma"/>
                        <w:sz w:val="16"/>
                        <w:szCs w:val="14"/>
                      </w:rPr>
                      <w:t xml:space="preserve">Página </w:t>
                    </w:r>
                    <w:r w:rsidRPr="00996BA6">
                      <w:rPr>
                        <w:rFonts w:ascii="Tahoma" w:hAnsi="Tahoma" w:cs="Tahoma"/>
                        <w:bCs/>
                        <w:sz w:val="16"/>
                        <w:szCs w:val="14"/>
                      </w:rPr>
                      <w:fldChar w:fldCharType="begin"/>
                    </w:r>
                    <w:r w:rsidRPr="00996BA6">
                      <w:rPr>
                        <w:rFonts w:ascii="Tahoma" w:hAnsi="Tahoma" w:cs="Tahoma"/>
                        <w:bCs/>
                        <w:sz w:val="16"/>
                        <w:szCs w:val="14"/>
                      </w:rPr>
                      <w:instrText>PAGE</w:instrText>
                    </w:r>
                    <w:r w:rsidRPr="00996BA6">
                      <w:rPr>
                        <w:rFonts w:ascii="Tahoma" w:hAnsi="Tahoma" w:cs="Tahoma"/>
                        <w:bCs/>
                        <w:sz w:val="16"/>
                        <w:szCs w:val="14"/>
                      </w:rPr>
                      <w:fldChar w:fldCharType="separate"/>
                    </w:r>
                    <w:r w:rsidR="0069463D">
                      <w:rPr>
                        <w:rFonts w:ascii="Tahoma" w:hAnsi="Tahoma" w:cs="Tahoma"/>
                        <w:bCs/>
                        <w:noProof/>
                        <w:sz w:val="16"/>
                        <w:szCs w:val="14"/>
                      </w:rPr>
                      <w:t>3</w:t>
                    </w:r>
                    <w:r w:rsidRPr="00996BA6">
                      <w:rPr>
                        <w:rFonts w:ascii="Tahoma" w:hAnsi="Tahoma" w:cs="Tahoma"/>
                        <w:bCs/>
                        <w:sz w:val="16"/>
                        <w:szCs w:val="14"/>
                      </w:rPr>
                      <w:fldChar w:fldCharType="end"/>
                    </w:r>
                    <w:r w:rsidRPr="00996BA6">
                      <w:rPr>
                        <w:rFonts w:ascii="Tahoma" w:hAnsi="Tahoma" w:cs="Tahoma"/>
                        <w:sz w:val="16"/>
                        <w:szCs w:val="14"/>
                      </w:rPr>
                      <w:t xml:space="preserve"> de </w:t>
                    </w:r>
                    <w:r w:rsidRPr="00996BA6">
                      <w:rPr>
                        <w:rFonts w:ascii="Tahoma" w:hAnsi="Tahoma" w:cs="Tahoma"/>
                        <w:bCs/>
                        <w:sz w:val="16"/>
                        <w:szCs w:val="14"/>
                      </w:rPr>
                      <w:fldChar w:fldCharType="begin"/>
                    </w:r>
                    <w:r w:rsidRPr="00996BA6">
                      <w:rPr>
                        <w:rFonts w:ascii="Tahoma" w:hAnsi="Tahoma" w:cs="Tahoma"/>
                        <w:bCs/>
                        <w:sz w:val="16"/>
                        <w:szCs w:val="14"/>
                      </w:rPr>
                      <w:instrText>NUMPAGES</w:instrText>
                    </w:r>
                    <w:r w:rsidRPr="00996BA6">
                      <w:rPr>
                        <w:rFonts w:ascii="Tahoma" w:hAnsi="Tahoma" w:cs="Tahoma"/>
                        <w:bCs/>
                        <w:sz w:val="16"/>
                        <w:szCs w:val="14"/>
                      </w:rPr>
                      <w:fldChar w:fldCharType="separate"/>
                    </w:r>
                    <w:r w:rsidR="0069463D">
                      <w:rPr>
                        <w:rFonts w:ascii="Tahoma" w:hAnsi="Tahoma" w:cs="Tahoma"/>
                        <w:bCs/>
                        <w:noProof/>
                        <w:sz w:val="16"/>
                        <w:szCs w:val="14"/>
                      </w:rPr>
                      <w:t>5</w:t>
                    </w:r>
                    <w:r w:rsidRPr="00996BA6">
                      <w:rPr>
                        <w:rFonts w:ascii="Tahoma" w:hAnsi="Tahoma" w:cs="Tahoma"/>
                        <w:bCs/>
                        <w:sz w:val="16"/>
                        <w:szCs w:val="1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883B54">
      <w:rPr>
        <w:rFonts w:ascii="Tahoma" w:hAnsi="Tahoma" w:cs="Tahoma"/>
        <w:sz w:val="18"/>
        <w:szCs w:val="18"/>
        <w:lang w:val="es-MX"/>
      </w:rPr>
      <w:t xml:space="preserve"> </w:t>
    </w:r>
  </w:p>
  <w:p w:rsidR="00883B54" w:rsidRDefault="00883B5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98B" w:rsidRDefault="001A398B" w:rsidP="00A17E00">
      <w:pPr>
        <w:spacing w:after="0" w:line="240" w:lineRule="auto"/>
      </w:pPr>
      <w:r>
        <w:separator/>
      </w:r>
    </w:p>
  </w:footnote>
  <w:footnote w:type="continuationSeparator" w:id="0">
    <w:p w:rsidR="001A398B" w:rsidRDefault="001A398B" w:rsidP="00A17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89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571"/>
      <w:gridCol w:w="3107"/>
      <w:gridCol w:w="2410"/>
      <w:gridCol w:w="1701"/>
    </w:tblGrid>
    <w:tr w:rsidR="00883B54" w:rsidRPr="00751953" w:rsidTr="00CC2C67">
      <w:trPr>
        <w:cantSplit/>
        <w:trHeight w:val="104"/>
      </w:trPr>
      <w:tc>
        <w:tcPr>
          <w:tcW w:w="157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:rsidR="00883B54" w:rsidRDefault="00883B54" w:rsidP="00CC2C67">
          <w:pPr>
            <w:pStyle w:val="Encabezado"/>
            <w:tabs>
              <w:tab w:val="center" w:pos="-5698"/>
            </w:tabs>
            <w:spacing w:line="276" w:lineRule="auto"/>
            <w:rPr>
              <w:rFonts w:ascii="Tahoma" w:hAnsi="Tahoma" w:cs="Tahoma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>
                <wp:extent cx="962025" cy="619125"/>
                <wp:effectExtent l="0" t="0" r="0" b="0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1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:rsidR="00883B54" w:rsidRDefault="00883B54" w:rsidP="00CC2C67">
          <w:pPr>
            <w:pStyle w:val="Encabezado"/>
            <w:spacing w:line="276" w:lineRule="auto"/>
            <w:jc w:val="center"/>
            <w:rPr>
              <w:rFonts w:ascii="Tahoma" w:hAnsi="Tahoma" w:cs="Tahoma"/>
              <w:b/>
              <w:bCs/>
            </w:rPr>
          </w:pPr>
          <w:r>
            <w:rPr>
              <w:rFonts w:ascii="Tahoma" w:hAnsi="Tahoma" w:cs="Tahoma"/>
              <w:b/>
              <w:bCs/>
            </w:rPr>
            <w:t>REGISTRO</w:t>
          </w:r>
        </w:p>
        <w:p w:rsidR="00883B54" w:rsidRPr="00914026" w:rsidRDefault="00883B54" w:rsidP="00C44252">
          <w:pPr>
            <w:pStyle w:val="Encabezado"/>
            <w:spacing w:line="276" w:lineRule="auto"/>
            <w:jc w:val="center"/>
            <w:rPr>
              <w:rFonts w:ascii="Tahoma" w:hAnsi="Tahoma" w:cs="Tahoma"/>
              <w:b/>
              <w:bCs/>
            </w:rPr>
          </w:pPr>
          <w:r>
            <w:rPr>
              <w:rFonts w:ascii="Tahoma" w:hAnsi="Tahoma" w:cs="Tahoma"/>
              <w:b/>
              <w:bCs/>
            </w:rPr>
            <w:t xml:space="preserve">PROGRAMA DE </w:t>
          </w:r>
          <w:r w:rsidR="00C44252">
            <w:rPr>
              <w:rFonts w:ascii="Tahoma" w:hAnsi="Tahoma" w:cs="Tahoma"/>
              <w:b/>
              <w:bCs/>
            </w:rPr>
            <w:t>RENDICION Y REVISION DE CUENTA</w:t>
          </w:r>
        </w:p>
      </w:tc>
    </w:tr>
    <w:tr w:rsidR="00883B54" w:rsidRPr="00751953" w:rsidTr="00CC2C67">
      <w:trPr>
        <w:cantSplit/>
        <w:trHeight w:val="52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883B54" w:rsidRDefault="00883B54" w:rsidP="00CC2C67">
          <w:pPr>
            <w:rPr>
              <w:rFonts w:ascii="Tahoma" w:hAnsi="Tahoma" w:cs="Tahoma"/>
            </w:rPr>
          </w:pPr>
        </w:p>
      </w:tc>
      <w:tc>
        <w:tcPr>
          <w:tcW w:w="310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hideMark/>
        </w:tcPr>
        <w:p w:rsidR="00883B54" w:rsidRPr="00FE40E5" w:rsidRDefault="00883B54" w:rsidP="00CC2C67">
          <w:pPr>
            <w:pStyle w:val="Encabezado"/>
            <w:spacing w:line="276" w:lineRule="auto"/>
            <w:jc w:val="center"/>
            <w:rPr>
              <w:rFonts w:ascii="Tahoma" w:hAnsi="Tahoma" w:cs="Tahoma"/>
              <w:b/>
              <w:bCs/>
            </w:rPr>
          </w:pPr>
          <w:r w:rsidRPr="00FE40E5">
            <w:rPr>
              <w:rFonts w:ascii="Tahoma" w:hAnsi="Tahoma" w:cs="Tahoma"/>
              <w:b/>
            </w:rPr>
            <w:t xml:space="preserve">Proceso: </w:t>
          </w:r>
          <w:r w:rsidRPr="00FE40E5">
            <w:rPr>
              <w:rFonts w:ascii="Tahoma" w:hAnsi="Tahoma" w:cs="Tahoma"/>
            </w:rPr>
            <w:t xml:space="preserve">CF- Control Fiscal </w:t>
          </w:r>
        </w:p>
      </w:tc>
      <w:tc>
        <w:tcPr>
          <w:tcW w:w="24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883B54" w:rsidRPr="00FE40E5" w:rsidRDefault="00883B54" w:rsidP="00C44252">
          <w:pPr>
            <w:pStyle w:val="Encabezado"/>
            <w:spacing w:line="276" w:lineRule="auto"/>
            <w:jc w:val="center"/>
            <w:rPr>
              <w:rFonts w:ascii="Tahoma" w:hAnsi="Tahoma" w:cs="Tahoma"/>
              <w:b/>
              <w:bCs/>
            </w:rPr>
          </w:pPr>
          <w:r w:rsidRPr="00FE40E5">
            <w:rPr>
              <w:rFonts w:ascii="Tahoma" w:hAnsi="Tahoma" w:cs="Tahoma"/>
              <w:b/>
            </w:rPr>
            <w:t>Código:</w:t>
          </w:r>
          <w:r w:rsidRPr="00FE40E5">
            <w:rPr>
              <w:rFonts w:ascii="Tahoma" w:hAnsi="Tahoma" w:cs="Tahoma"/>
            </w:rPr>
            <w:t xml:space="preserve"> RCF-</w:t>
          </w:r>
          <w:r>
            <w:rPr>
              <w:rFonts w:ascii="Tahoma" w:hAnsi="Tahoma" w:cs="Tahoma"/>
            </w:rPr>
            <w:t>0</w:t>
          </w:r>
          <w:r w:rsidR="00C44252">
            <w:rPr>
              <w:rFonts w:ascii="Tahoma" w:hAnsi="Tahoma" w:cs="Tahoma"/>
            </w:rPr>
            <w:t>28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28" w:type="dxa"/>
            <w:left w:w="28" w:type="dxa"/>
            <w:bottom w:w="28" w:type="dxa"/>
            <w:right w:w="28" w:type="dxa"/>
          </w:tcMar>
          <w:hideMark/>
        </w:tcPr>
        <w:p w:rsidR="00883B54" w:rsidRPr="00FE40E5" w:rsidRDefault="00883B54" w:rsidP="00CC2C67">
          <w:pPr>
            <w:jc w:val="center"/>
            <w:rPr>
              <w:rFonts w:ascii="Tahoma" w:hAnsi="Tahoma" w:cs="Tahoma"/>
            </w:rPr>
          </w:pPr>
          <w:r w:rsidRPr="00FE40E5">
            <w:rPr>
              <w:rFonts w:ascii="Tahoma" w:hAnsi="Tahoma" w:cs="Tahoma"/>
              <w:b/>
            </w:rPr>
            <w:t>Versión:</w:t>
          </w:r>
          <w:r w:rsidRPr="00FE40E5">
            <w:rPr>
              <w:rFonts w:ascii="Tahoma" w:hAnsi="Tahoma" w:cs="Tahoma"/>
            </w:rPr>
            <w:t xml:space="preserve">  01</w:t>
          </w:r>
        </w:p>
      </w:tc>
    </w:tr>
  </w:tbl>
  <w:p w:rsidR="00883B54" w:rsidRPr="00D41129" w:rsidRDefault="00883B54" w:rsidP="00D4112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104E5"/>
    <w:multiLevelType w:val="hybridMultilevel"/>
    <w:tmpl w:val="D6B463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4717C3"/>
    <w:multiLevelType w:val="hybridMultilevel"/>
    <w:tmpl w:val="6FDA8A4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D779CD"/>
    <w:multiLevelType w:val="hybridMultilevel"/>
    <w:tmpl w:val="7D92D5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0D"/>
    <w:rsid w:val="00006FAF"/>
    <w:rsid w:val="00010251"/>
    <w:rsid w:val="0002561B"/>
    <w:rsid w:val="0003031B"/>
    <w:rsid w:val="00044D1F"/>
    <w:rsid w:val="0005506F"/>
    <w:rsid w:val="00056D68"/>
    <w:rsid w:val="00096E74"/>
    <w:rsid w:val="000C0963"/>
    <w:rsid w:val="000E1029"/>
    <w:rsid w:val="000E12DD"/>
    <w:rsid w:val="001225A8"/>
    <w:rsid w:val="0013490D"/>
    <w:rsid w:val="001435F6"/>
    <w:rsid w:val="0019571B"/>
    <w:rsid w:val="00197D32"/>
    <w:rsid w:val="001A398B"/>
    <w:rsid w:val="001B1E55"/>
    <w:rsid w:val="001B6552"/>
    <w:rsid w:val="001C5F32"/>
    <w:rsid w:val="00251B60"/>
    <w:rsid w:val="00276137"/>
    <w:rsid w:val="002A3388"/>
    <w:rsid w:val="002C1259"/>
    <w:rsid w:val="002C7889"/>
    <w:rsid w:val="002F017D"/>
    <w:rsid w:val="002F21DD"/>
    <w:rsid w:val="003664F9"/>
    <w:rsid w:val="003672FE"/>
    <w:rsid w:val="003710B9"/>
    <w:rsid w:val="00380766"/>
    <w:rsid w:val="003A4719"/>
    <w:rsid w:val="003C2FA0"/>
    <w:rsid w:val="003D262B"/>
    <w:rsid w:val="00422537"/>
    <w:rsid w:val="004413DE"/>
    <w:rsid w:val="004861E0"/>
    <w:rsid w:val="004B63A6"/>
    <w:rsid w:val="004E7795"/>
    <w:rsid w:val="00503170"/>
    <w:rsid w:val="00504D9E"/>
    <w:rsid w:val="00505671"/>
    <w:rsid w:val="00536977"/>
    <w:rsid w:val="005404D0"/>
    <w:rsid w:val="00544EB1"/>
    <w:rsid w:val="00551A1C"/>
    <w:rsid w:val="0056671B"/>
    <w:rsid w:val="00567E92"/>
    <w:rsid w:val="005C4C62"/>
    <w:rsid w:val="005E4CEF"/>
    <w:rsid w:val="005F025E"/>
    <w:rsid w:val="006124CB"/>
    <w:rsid w:val="00620F2B"/>
    <w:rsid w:val="00622F4D"/>
    <w:rsid w:val="00652BB6"/>
    <w:rsid w:val="0065558F"/>
    <w:rsid w:val="006576B2"/>
    <w:rsid w:val="0067190B"/>
    <w:rsid w:val="00672E4D"/>
    <w:rsid w:val="0069463D"/>
    <w:rsid w:val="006A1A42"/>
    <w:rsid w:val="006A3541"/>
    <w:rsid w:val="006C3EA7"/>
    <w:rsid w:val="006E3F8B"/>
    <w:rsid w:val="006F125A"/>
    <w:rsid w:val="006F21CF"/>
    <w:rsid w:val="00737869"/>
    <w:rsid w:val="007D4EF6"/>
    <w:rsid w:val="007E101C"/>
    <w:rsid w:val="007E4EC7"/>
    <w:rsid w:val="007F02DF"/>
    <w:rsid w:val="00813B35"/>
    <w:rsid w:val="00827CB9"/>
    <w:rsid w:val="008537AF"/>
    <w:rsid w:val="008706CF"/>
    <w:rsid w:val="008812A9"/>
    <w:rsid w:val="00883B54"/>
    <w:rsid w:val="008F27DE"/>
    <w:rsid w:val="00906D2E"/>
    <w:rsid w:val="00945694"/>
    <w:rsid w:val="00992C26"/>
    <w:rsid w:val="009C035F"/>
    <w:rsid w:val="009E325D"/>
    <w:rsid w:val="009F784A"/>
    <w:rsid w:val="00A00A99"/>
    <w:rsid w:val="00A0796F"/>
    <w:rsid w:val="00A160D8"/>
    <w:rsid w:val="00A163BA"/>
    <w:rsid w:val="00A17E00"/>
    <w:rsid w:val="00A55036"/>
    <w:rsid w:val="00A56344"/>
    <w:rsid w:val="00A570CB"/>
    <w:rsid w:val="00A72231"/>
    <w:rsid w:val="00A81F80"/>
    <w:rsid w:val="00AA4100"/>
    <w:rsid w:val="00AA538B"/>
    <w:rsid w:val="00AC391E"/>
    <w:rsid w:val="00AF206B"/>
    <w:rsid w:val="00B22B7F"/>
    <w:rsid w:val="00B47144"/>
    <w:rsid w:val="00B629B3"/>
    <w:rsid w:val="00B65BCE"/>
    <w:rsid w:val="00B6733D"/>
    <w:rsid w:val="00B719BC"/>
    <w:rsid w:val="00B72DD0"/>
    <w:rsid w:val="00B82A03"/>
    <w:rsid w:val="00B903A4"/>
    <w:rsid w:val="00BB3808"/>
    <w:rsid w:val="00BF0733"/>
    <w:rsid w:val="00C16C0D"/>
    <w:rsid w:val="00C222C9"/>
    <w:rsid w:val="00C44252"/>
    <w:rsid w:val="00C45F92"/>
    <w:rsid w:val="00C806E1"/>
    <w:rsid w:val="00CB5659"/>
    <w:rsid w:val="00CB6921"/>
    <w:rsid w:val="00CC2C67"/>
    <w:rsid w:val="00CC2F02"/>
    <w:rsid w:val="00CF1581"/>
    <w:rsid w:val="00D16D4A"/>
    <w:rsid w:val="00D2144F"/>
    <w:rsid w:val="00D26A27"/>
    <w:rsid w:val="00D27CBE"/>
    <w:rsid w:val="00D41129"/>
    <w:rsid w:val="00D6009C"/>
    <w:rsid w:val="00D61F04"/>
    <w:rsid w:val="00D725EA"/>
    <w:rsid w:val="00D732B7"/>
    <w:rsid w:val="00D8331D"/>
    <w:rsid w:val="00DD435E"/>
    <w:rsid w:val="00DF73DB"/>
    <w:rsid w:val="00E169A2"/>
    <w:rsid w:val="00E51942"/>
    <w:rsid w:val="00E553FD"/>
    <w:rsid w:val="00E57FF7"/>
    <w:rsid w:val="00EA583B"/>
    <w:rsid w:val="00EC1432"/>
    <w:rsid w:val="00ED4B0E"/>
    <w:rsid w:val="00F019A8"/>
    <w:rsid w:val="00F11DDD"/>
    <w:rsid w:val="00F42C3A"/>
    <w:rsid w:val="00F71198"/>
    <w:rsid w:val="00F928F2"/>
    <w:rsid w:val="00F92A4C"/>
    <w:rsid w:val="00FB1A10"/>
    <w:rsid w:val="00FC395E"/>
    <w:rsid w:val="00FD3A6F"/>
    <w:rsid w:val="00FE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qFormat/>
    <w:rsid w:val="00827CB9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o,header odd"/>
    <w:basedOn w:val="Normal"/>
    <w:link w:val="EncabezadoCar1"/>
    <w:rsid w:val="00827CB9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EncabezadoCar">
    <w:name w:val="Encabezado Car"/>
    <w:basedOn w:val="Fuentedeprrafopredeter"/>
    <w:uiPriority w:val="99"/>
    <w:semiHidden/>
    <w:rsid w:val="00827CB9"/>
  </w:style>
  <w:style w:type="character" w:styleId="Nmerodepgina">
    <w:name w:val="page number"/>
    <w:basedOn w:val="Fuentedeprrafopredeter"/>
    <w:rsid w:val="00827CB9"/>
  </w:style>
  <w:style w:type="character" w:customStyle="1" w:styleId="EncabezadoCar1">
    <w:name w:val="Encabezado Car1"/>
    <w:aliases w:val="ho Car,header odd Car"/>
    <w:link w:val="Encabezado"/>
    <w:locked/>
    <w:rsid w:val="00827CB9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27CB9"/>
    <w:rPr>
      <w:rFonts w:ascii="Arial" w:eastAsia="Times New Roman" w:hAnsi="Arial" w:cs="Times New Roman"/>
      <w:b/>
      <w:sz w:val="24"/>
      <w:szCs w:val="20"/>
      <w:lang w:eastAsia="es-ES"/>
    </w:rPr>
  </w:style>
  <w:style w:type="paragraph" w:styleId="Ttulo">
    <w:name w:val="Title"/>
    <w:basedOn w:val="Normal"/>
    <w:link w:val="TtuloCar"/>
    <w:qFormat/>
    <w:rsid w:val="00827CB9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827CB9"/>
    <w:rPr>
      <w:rFonts w:ascii="Arial" w:eastAsia="Times New Roman" w:hAnsi="Arial" w:cs="Times New Roman"/>
      <w:b/>
      <w:sz w:val="24"/>
      <w:szCs w:val="20"/>
      <w:lang w:val="es-ES" w:eastAsia="es-ES"/>
    </w:rPr>
  </w:style>
  <w:style w:type="paragraph" w:styleId="Textoindependiente3">
    <w:name w:val="Body Text 3"/>
    <w:basedOn w:val="Normal"/>
    <w:link w:val="Textoindependiente3Car"/>
    <w:rsid w:val="004413D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4413DE"/>
    <w:rPr>
      <w:rFonts w:ascii="Arial" w:eastAsia="Times New Roman" w:hAnsi="Arial" w:cs="Times New Roman"/>
      <w:sz w:val="24"/>
      <w:szCs w:val="20"/>
      <w:lang w:val="es-ES" w:eastAsia="es-ES"/>
    </w:rPr>
  </w:style>
  <w:style w:type="paragraph" w:customStyle="1" w:styleId="Car">
    <w:name w:val="Car"/>
    <w:basedOn w:val="Normal"/>
    <w:rsid w:val="008537AF"/>
    <w:pPr>
      <w:spacing w:after="160" w:line="240" w:lineRule="exact"/>
      <w:jc w:val="both"/>
    </w:pPr>
    <w:rPr>
      <w:rFonts w:ascii="Verdana" w:eastAsia="Times New Roman" w:hAnsi="Verdana" w:cs="Arial"/>
      <w:b/>
      <w:sz w:val="20"/>
      <w:szCs w:val="20"/>
      <w:lang w:val="es-ES"/>
    </w:rPr>
  </w:style>
  <w:style w:type="paragraph" w:customStyle="1" w:styleId="296">
    <w:name w:val="296"/>
    <w:basedOn w:val="Normal"/>
    <w:rsid w:val="00B22B7F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0"/>
      <w:szCs w:val="20"/>
      <w:lang w:val="en-US" w:eastAsia="es-ES"/>
    </w:rPr>
  </w:style>
  <w:style w:type="paragraph" w:customStyle="1" w:styleId="Textopredeterminado">
    <w:name w:val="Texto predeterminado"/>
    <w:basedOn w:val="Normal"/>
    <w:rsid w:val="00B22B7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val="es-MX" w:eastAsia="es-ES"/>
    </w:rPr>
  </w:style>
  <w:style w:type="paragraph" w:styleId="Piedepgina">
    <w:name w:val="footer"/>
    <w:basedOn w:val="Normal"/>
    <w:link w:val="PiedepginaCar"/>
    <w:unhideWhenUsed/>
    <w:rsid w:val="00A17E0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A17E00"/>
  </w:style>
  <w:style w:type="paragraph" w:styleId="Textodeglobo">
    <w:name w:val="Balloon Text"/>
    <w:basedOn w:val="Normal"/>
    <w:link w:val="TextodegloboCar"/>
    <w:uiPriority w:val="99"/>
    <w:semiHidden/>
    <w:unhideWhenUsed/>
    <w:rsid w:val="00D41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112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51942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qFormat/>
    <w:rsid w:val="00827CB9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o,header odd"/>
    <w:basedOn w:val="Normal"/>
    <w:link w:val="EncabezadoCar1"/>
    <w:rsid w:val="00827CB9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EncabezadoCar">
    <w:name w:val="Encabezado Car"/>
    <w:basedOn w:val="Fuentedeprrafopredeter"/>
    <w:uiPriority w:val="99"/>
    <w:semiHidden/>
    <w:rsid w:val="00827CB9"/>
  </w:style>
  <w:style w:type="character" w:styleId="Nmerodepgina">
    <w:name w:val="page number"/>
    <w:basedOn w:val="Fuentedeprrafopredeter"/>
    <w:rsid w:val="00827CB9"/>
  </w:style>
  <w:style w:type="character" w:customStyle="1" w:styleId="EncabezadoCar1">
    <w:name w:val="Encabezado Car1"/>
    <w:aliases w:val="ho Car,header odd Car"/>
    <w:link w:val="Encabezado"/>
    <w:locked/>
    <w:rsid w:val="00827CB9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27CB9"/>
    <w:rPr>
      <w:rFonts w:ascii="Arial" w:eastAsia="Times New Roman" w:hAnsi="Arial" w:cs="Times New Roman"/>
      <w:b/>
      <w:sz w:val="24"/>
      <w:szCs w:val="20"/>
      <w:lang w:eastAsia="es-ES"/>
    </w:rPr>
  </w:style>
  <w:style w:type="paragraph" w:styleId="Ttulo">
    <w:name w:val="Title"/>
    <w:basedOn w:val="Normal"/>
    <w:link w:val="TtuloCar"/>
    <w:qFormat/>
    <w:rsid w:val="00827CB9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827CB9"/>
    <w:rPr>
      <w:rFonts w:ascii="Arial" w:eastAsia="Times New Roman" w:hAnsi="Arial" w:cs="Times New Roman"/>
      <w:b/>
      <w:sz w:val="24"/>
      <w:szCs w:val="20"/>
      <w:lang w:val="es-ES" w:eastAsia="es-ES"/>
    </w:rPr>
  </w:style>
  <w:style w:type="paragraph" w:styleId="Textoindependiente3">
    <w:name w:val="Body Text 3"/>
    <w:basedOn w:val="Normal"/>
    <w:link w:val="Textoindependiente3Car"/>
    <w:rsid w:val="004413D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4413DE"/>
    <w:rPr>
      <w:rFonts w:ascii="Arial" w:eastAsia="Times New Roman" w:hAnsi="Arial" w:cs="Times New Roman"/>
      <w:sz w:val="24"/>
      <w:szCs w:val="20"/>
      <w:lang w:val="es-ES" w:eastAsia="es-ES"/>
    </w:rPr>
  </w:style>
  <w:style w:type="paragraph" w:customStyle="1" w:styleId="Car">
    <w:name w:val="Car"/>
    <w:basedOn w:val="Normal"/>
    <w:rsid w:val="008537AF"/>
    <w:pPr>
      <w:spacing w:after="160" w:line="240" w:lineRule="exact"/>
      <w:jc w:val="both"/>
    </w:pPr>
    <w:rPr>
      <w:rFonts w:ascii="Verdana" w:eastAsia="Times New Roman" w:hAnsi="Verdana" w:cs="Arial"/>
      <w:b/>
      <w:sz w:val="20"/>
      <w:szCs w:val="20"/>
      <w:lang w:val="es-ES"/>
    </w:rPr>
  </w:style>
  <w:style w:type="paragraph" w:customStyle="1" w:styleId="296">
    <w:name w:val="296"/>
    <w:basedOn w:val="Normal"/>
    <w:rsid w:val="00B22B7F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0"/>
      <w:szCs w:val="20"/>
      <w:lang w:val="en-US" w:eastAsia="es-ES"/>
    </w:rPr>
  </w:style>
  <w:style w:type="paragraph" w:customStyle="1" w:styleId="Textopredeterminado">
    <w:name w:val="Texto predeterminado"/>
    <w:basedOn w:val="Normal"/>
    <w:rsid w:val="00B22B7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val="es-MX" w:eastAsia="es-ES"/>
    </w:rPr>
  </w:style>
  <w:style w:type="paragraph" w:styleId="Piedepgina">
    <w:name w:val="footer"/>
    <w:basedOn w:val="Normal"/>
    <w:link w:val="PiedepginaCar"/>
    <w:unhideWhenUsed/>
    <w:rsid w:val="00A17E0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A17E00"/>
  </w:style>
  <w:style w:type="paragraph" w:styleId="Textodeglobo">
    <w:name w:val="Balloon Text"/>
    <w:basedOn w:val="Normal"/>
    <w:link w:val="TextodegloboCar"/>
    <w:uiPriority w:val="99"/>
    <w:semiHidden/>
    <w:unhideWhenUsed/>
    <w:rsid w:val="00D41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1129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51942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F422C-8BB7-49D5-AA89-BE748A342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5</Pages>
  <Words>1094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Helena Escobar Escobar</dc:creator>
  <cp:lastModifiedBy>Personal</cp:lastModifiedBy>
  <cp:revision>24</cp:revision>
  <cp:lastPrinted>2016-07-22T18:50:00Z</cp:lastPrinted>
  <dcterms:created xsi:type="dcterms:W3CDTF">2016-07-28T19:00:00Z</dcterms:created>
  <dcterms:modified xsi:type="dcterms:W3CDTF">2016-08-08T15:01:00Z</dcterms:modified>
</cp:coreProperties>
</file>